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210"/>
        <w:tblW w:w="13479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923"/>
        <w:gridCol w:w="3556"/>
      </w:tblGrid>
      <w:tr w:rsidR="00FE06A7" w:rsidRPr="0063639B" w14:paraId="341244A2" w14:textId="77777777" w:rsidTr="00763ED5">
        <w:trPr>
          <w:trHeight w:val="103"/>
        </w:trPr>
        <w:tc>
          <w:tcPr>
            <w:tcW w:w="9923" w:type="dxa"/>
            <w:vAlign w:val="center"/>
          </w:tcPr>
          <w:p w14:paraId="5760021C" w14:textId="77777777" w:rsidR="003F0F98" w:rsidRPr="0063639B" w:rsidRDefault="00396149" w:rsidP="00166BE7">
            <w:pPr>
              <w:pStyle w:val="Default"/>
              <w:jc w:val="center"/>
              <w:rPr>
                <w:rFonts w:asciiTheme="minorHAnsi" w:hAnsiTheme="minorHAnsi" w:cs="Times New Roman"/>
                <w:b/>
              </w:rPr>
            </w:pPr>
            <w:r w:rsidRPr="0063639B">
              <w:rPr>
                <w:rFonts w:asciiTheme="minorHAnsi" w:hAnsiTheme="minorHAnsi" w:cs="Times New Roman"/>
                <w:b/>
              </w:rPr>
              <w:t>Výzva na predloženie ponuky – prieskum trhu</w:t>
            </w:r>
          </w:p>
          <w:p w14:paraId="193DDA78" w14:textId="4A3FB6B9" w:rsidR="003F0F98" w:rsidRPr="0063639B" w:rsidRDefault="003F0F98" w:rsidP="00166BE7">
            <w:pPr>
              <w:pStyle w:val="Default"/>
              <w:jc w:val="center"/>
              <w:rPr>
                <w:rFonts w:asciiTheme="minorHAnsi" w:hAnsiTheme="minorHAnsi" w:cs="Times New Roman"/>
              </w:rPr>
            </w:pPr>
            <w:r w:rsidRPr="0063639B">
              <w:rPr>
                <w:rFonts w:asciiTheme="minorHAnsi" w:hAnsiTheme="minorHAnsi" w:cs="Times New Roman"/>
              </w:rPr>
              <w:t xml:space="preserve">v zmysle § </w:t>
            </w:r>
            <w:r w:rsidR="00652DE8" w:rsidRPr="0063639B">
              <w:rPr>
                <w:rFonts w:asciiTheme="minorHAnsi" w:hAnsiTheme="minorHAnsi" w:cs="Times New Roman"/>
              </w:rPr>
              <w:t>117</w:t>
            </w:r>
            <w:r w:rsidRPr="0063639B">
              <w:rPr>
                <w:rFonts w:asciiTheme="minorHAnsi" w:hAnsiTheme="minorHAnsi" w:cs="Times New Roman"/>
              </w:rPr>
              <w:t xml:space="preserve"> ods. </w:t>
            </w:r>
            <w:r w:rsidR="00652DE8" w:rsidRPr="0063639B">
              <w:rPr>
                <w:rFonts w:asciiTheme="minorHAnsi" w:hAnsiTheme="minorHAnsi" w:cs="Times New Roman"/>
              </w:rPr>
              <w:t>1</w:t>
            </w:r>
            <w:r w:rsidRPr="0063639B">
              <w:rPr>
                <w:rFonts w:asciiTheme="minorHAnsi" w:hAnsiTheme="minorHAnsi" w:cs="Times New Roman"/>
              </w:rPr>
              <w:t xml:space="preserve"> zákona č. </w:t>
            </w:r>
            <w:r w:rsidR="00652DE8" w:rsidRPr="0063639B">
              <w:rPr>
                <w:rFonts w:asciiTheme="minorHAnsi" w:hAnsiTheme="minorHAnsi" w:cs="Times New Roman"/>
              </w:rPr>
              <w:t>343/2015</w:t>
            </w:r>
            <w:r w:rsidRPr="0063639B">
              <w:rPr>
                <w:rFonts w:asciiTheme="minorHAnsi" w:hAnsiTheme="minorHAnsi" w:cs="Times New Roman"/>
              </w:rPr>
              <w:t xml:space="preserve"> Z.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z. o verejnom obstarávaní a</w:t>
            </w:r>
            <w:r w:rsidR="002A2CA6" w:rsidRPr="0063639B">
              <w:rPr>
                <w:rFonts w:asciiTheme="minorHAnsi" w:hAnsiTheme="minorHAnsi" w:cs="Times New Roman"/>
              </w:rPr>
              <w:t> </w:t>
            </w:r>
            <w:r w:rsidRPr="0063639B">
              <w:rPr>
                <w:rFonts w:asciiTheme="minorHAnsi" w:hAnsiTheme="minorHAnsi" w:cs="Times New Roman"/>
              </w:rPr>
              <w:t>o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zmene a</w:t>
            </w:r>
            <w:r w:rsidR="002A2CA6" w:rsidRPr="0063639B">
              <w:rPr>
                <w:rFonts w:asciiTheme="minorHAnsi" w:hAnsiTheme="minorHAnsi" w:cs="Times New Roman"/>
              </w:rPr>
              <w:t xml:space="preserve"> </w:t>
            </w:r>
            <w:r w:rsidRPr="0063639B">
              <w:rPr>
                <w:rFonts w:asciiTheme="minorHAnsi" w:hAnsiTheme="minorHAnsi" w:cs="Times New Roman"/>
              </w:rPr>
              <w:t>doplnení niektorých zákonov</w:t>
            </w:r>
            <w:r w:rsidR="00923FD6">
              <w:rPr>
                <w:rFonts w:asciiTheme="minorHAnsi" w:hAnsiTheme="minorHAnsi" w:cs="Times New Roman"/>
              </w:rPr>
              <w:t xml:space="preserve"> (ďalej „zákon o VO“)</w:t>
            </w:r>
          </w:p>
          <w:tbl>
            <w:tblPr>
              <w:tblW w:w="964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5246"/>
              <w:gridCol w:w="1276"/>
              <w:gridCol w:w="998"/>
            </w:tblGrid>
            <w:tr w:rsidR="00BD3A60" w:rsidRPr="0063639B" w14:paraId="039AA72D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74F2EF74" w14:textId="77777777" w:rsidR="00BD3A60" w:rsidRPr="0063639B" w:rsidRDefault="00B20AA9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Názov verejného obstarávateľa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26D92862" w14:textId="77777777" w:rsidR="00BD3A60" w:rsidRPr="0063639B" w:rsidRDefault="00B637F6" w:rsidP="007D25CE">
                  <w:pPr>
                    <w:pStyle w:val="Default"/>
                    <w:framePr w:hSpace="141" w:wrap="around" w:hAnchor="margin" w:y="210"/>
                    <w:ind w:firstLine="33"/>
                    <w:rPr>
                      <w:rFonts w:asciiTheme="minorHAnsi" w:hAnsiTheme="minorHAnsi" w:cs="Times New Roman"/>
                      <w:b/>
                    </w:rPr>
                  </w:pPr>
                  <w:r w:rsidRPr="0063639B">
                    <w:rPr>
                      <w:rFonts w:asciiTheme="minorHAnsi" w:hAnsiTheme="minorHAnsi" w:cs="Times New Roman"/>
                      <w:b/>
                    </w:rPr>
                    <w:t>Slovenská konsolidačná, a.s.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3EEF929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1D997A0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63639B" w14:paraId="05642568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5F0C18DA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Poštová adresa</w:t>
                  </w:r>
                </w:p>
              </w:tc>
              <w:tc>
                <w:tcPr>
                  <w:tcW w:w="5246" w:type="dxa"/>
                  <w:tcBorders>
                    <w:right w:val="nil"/>
                  </w:tcBorders>
                  <w:vAlign w:val="center"/>
                </w:tcPr>
                <w:p w14:paraId="6E22432D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 xml:space="preserve">Cintorínska </w:t>
                  </w:r>
                  <w:r w:rsidR="00797F8A" w:rsidRPr="0063639B">
                    <w:rPr>
                      <w:rFonts w:asciiTheme="minorHAnsi" w:hAnsiTheme="minorHAnsi" w:cs="Times New Roman"/>
                    </w:rPr>
                    <w:t xml:space="preserve">č. </w:t>
                  </w:r>
                  <w:r w:rsidRPr="0063639B">
                    <w:rPr>
                      <w:rFonts w:asciiTheme="minorHAnsi" w:hAnsiTheme="minorHAnsi" w:cs="Times New Roman"/>
                    </w:rPr>
                    <w:t>21</w:t>
                  </w:r>
                </w:p>
              </w:tc>
              <w:tc>
                <w:tcPr>
                  <w:tcW w:w="1276" w:type="dxa"/>
                  <w:tcBorders>
                    <w:left w:val="nil"/>
                    <w:right w:val="nil"/>
                  </w:tcBorders>
                </w:tcPr>
                <w:p w14:paraId="33780956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1F0B08FA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BD3A60" w:rsidRPr="0063639B" w14:paraId="31F83A61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6DFBBE4D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Mesto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</w:tcBorders>
                  <w:vAlign w:val="center"/>
                </w:tcPr>
                <w:p w14:paraId="6DC080AA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Bratislava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</w:tcPr>
                <w:p w14:paraId="0D14DACB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ind w:left="175" w:hanging="141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PSČ</w:t>
                  </w:r>
                </w:p>
              </w:tc>
              <w:tc>
                <w:tcPr>
                  <w:tcW w:w="998" w:type="dxa"/>
                </w:tcPr>
                <w:p w14:paraId="741A59E9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814 99</w:t>
                  </w:r>
                </w:p>
              </w:tc>
            </w:tr>
            <w:tr w:rsidR="00BD3A60" w:rsidRPr="0063639B" w14:paraId="55A90777" w14:textId="77777777" w:rsidTr="00763ED5">
              <w:trPr>
                <w:trHeight w:val="340"/>
              </w:trPr>
              <w:tc>
                <w:tcPr>
                  <w:tcW w:w="2122" w:type="dxa"/>
                  <w:vAlign w:val="center"/>
                </w:tcPr>
                <w:p w14:paraId="1AE46319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IČO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nil"/>
                  </w:tcBorders>
                  <w:vAlign w:val="center"/>
                </w:tcPr>
                <w:p w14:paraId="46BA70FA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35776005</w:t>
                  </w:r>
                </w:p>
              </w:tc>
              <w:tc>
                <w:tcPr>
                  <w:tcW w:w="1276" w:type="dxa"/>
                  <w:tcBorders>
                    <w:left w:val="nil"/>
                    <w:bottom w:val="single" w:sz="4" w:space="0" w:color="auto"/>
                    <w:right w:val="nil"/>
                  </w:tcBorders>
                </w:tcPr>
                <w:p w14:paraId="798CF7D1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  <w:tc>
                <w:tcPr>
                  <w:tcW w:w="998" w:type="dxa"/>
                  <w:tcBorders>
                    <w:left w:val="nil"/>
                  </w:tcBorders>
                </w:tcPr>
                <w:p w14:paraId="300BF454" w14:textId="77777777" w:rsidR="00BD3A60" w:rsidRPr="0063639B" w:rsidRDefault="00BD3A6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</w:p>
              </w:tc>
            </w:tr>
            <w:tr w:rsidR="00316B55" w:rsidRPr="0063639B" w14:paraId="21FBAD6C" w14:textId="77777777" w:rsidTr="00763ED5">
              <w:trPr>
                <w:trHeight w:val="526"/>
              </w:trPr>
              <w:tc>
                <w:tcPr>
                  <w:tcW w:w="2122" w:type="dxa"/>
                  <w:vAlign w:val="bottom"/>
                </w:tcPr>
                <w:p w14:paraId="50904EF9" w14:textId="77777777" w:rsidR="00316B55" w:rsidRPr="0063639B" w:rsidRDefault="0021423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>Kontaktná osoba</w:t>
                  </w:r>
                </w:p>
              </w:tc>
              <w:tc>
                <w:tcPr>
                  <w:tcW w:w="5246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4B329221" w14:textId="77777777" w:rsidR="00214230" w:rsidRPr="0063639B" w:rsidRDefault="005B2B79" w:rsidP="007D25CE">
                  <w:pPr>
                    <w:pStyle w:val="Default"/>
                    <w:framePr w:hSpace="141" w:wrap="around" w:hAnchor="margin" w:y="210"/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</w:pPr>
                  <w:r w:rsidRPr="0063639B">
                    <w:rPr>
                      <w:rStyle w:val="Hypertextovprepojenie"/>
                      <w:rFonts w:asciiTheme="minorHAnsi" w:hAnsiTheme="minorHAnsi" w:cs="Times New Roman"/>
                      <w:b/>
                      <w:color w:val="auto"/>
                      <w:u w:val="none"/>
                    </w:rPr>
                    <w:t>Ing. Emília Michaličková</w:t>
                  </w:r>
                </w:p>
                <w:p w14:paraId="6E1CD680" w14:textId="77777777" w:rsidR="00316B55" w:rsidRPr="0063639B" w:rsidRDefault="00214230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  <w:bCs/>
                      <w:iCs/>
                    </w:rPr>
                  </w:pPr>
                  <w:r w:rsidRPr="0063639B">
                    <w:rPr>
                      <w:rStyle w:val="Hypertextovprepojenie"/>
                      <w:rFonts w:asciiTheme="minorHAnsi" w:hAnsiTheme="minorHAnsi" w:cs="Times New Roman"/>
                      <w:color w:val="auto"/>
                      <w:u w:val="none"/>
                    </w:rPr>
                    <w:t>e-mail:</w:t>
                  </w:r>
                  <w:r w:rsidRPr="0063639B">
                    <w:rPr>
                      <w:rStyle w:val="Hypertextovprepojenie"/>
                      <w:rFonts w:asciiTheme="minorHAnsi" w:hAnsiTheme="minorHAnsi" w:cs="Times New Roman"/>
                    </w:rPr>
                    <w:t xml:space="preserve"> </w:t>
                  </w:r>
                  <w:hyperlink r:id="rId8" w:history="1">
                    <w:r w:rsidR="005B2B79" w:rsidRPr="0063639B">
                      <w:rPr>
                        <w:rStyle w:val="Hypertextovprepojenie"/>
                        <w:rFonts w:asciiTheme="minorHAnsi" w:hAnsiTheme="minorHAnsi" w:cs="Times New Roman"/>
                      </w:rPr>
                      <w:t>emichalickova@konsolidacna.sk</w:t>
                    </w:r>
                  </w:hyperlink>
                  <w:r w:rsidR="00FD2985" w:rsidRPr="0063639B">
                    <w:rPr>
                      <w:rFonts w:asciiTheme="minorHAnsi" w:hAnsiTheme="minorHAnsi" w:cs="Times New Roman"/>
                    </w:rPr>
                    <w:t xml:space="preserve"> </w:t>
                  </w:r>
                </w:p>
              </w:tc>
              <w:tc>
                <w:tcPr>
                  <w:tcW w:w="2274" w:type="dxa"/>
                  <w:gridSpan w:val="2"/>
                  <w:tcBorders>
                    <w:left w:val="single" w:sz="4" w:space="0" w:color="auto"/>
                  </w:tcBorders>
                  <w:vAlign w:val="center"/>
                </w:tcPr>
                <w:p w14:paraId="635DD686" w14:textId="77777777" w:rsidR="00CE519D" w:rsidRPr="0063639B" w:rsidRDefault="002A2CA6" w:rsidP="007D25CE">
                  <w:pPr>
                    <w:pStyle w:val="Default"/>
                    <w:framePr w:hSpace="141" w:wrap="around" w:hAnchor="margin" w:y="210"/>
                    <w:rPr>
                      <w:rFonts w:asciiTheme="minorHAnsi" w:hAnsiTheme="minorHAnsi" w:cs="Times New Roman"/>
                    </w:rPr>
                  </w:pPr>
                  <w:r w:rsidRPr="0063639B">
                    <w:rPr>
                      <w:rFonts w:asciiTheme="minorHAnsi" w:hAnsiTheme="minorHAnsi" w:cs="Times New Roman"/>
                    </w:rPr>
                    <w:t xml:space="preserve">Tel: </w:t>
                  </w:r>
                  <w:r w:rsidR="005B2B79" w:rsidRPr="0063639B">
                    <w:rPr>
                      <w:rFonts w:asciiTheme="minorHAnsi" w:hAnsiTheme="minorHAnsi" w:cs="Times New Roman"/>
                    </w:rPr>
                    <w:t>02/ 57 289 326</w:t>
                  </w:r>
                </w:p>
              </w:tc>
            </w:tr>
          </w:tbl>
          <w:p w14:paraId="4F38BA70" w14:textId="77777777" w:rsidR="00BD3A60" w:rsidRPr="0063639B" w:rsidRDefault="00BD3A60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  <w:tc>
          <w:tcPr>
            <w:tcW w:w="3556" w:type="dxa"/>
            <w:vAlign w:val="center"/>
          </w:tcPr>
          <w:p w14:paraId="4E5528FD" w14:textId="77777777" w:rsidR="00FE06A7" w:rsidRPr="0063639B" w:rsidRDefault="00FE06A7" w:rsidP="00166BE7">
            <w:pPr>
              <w:pStyle w:val="Default"/>
              <w:rPr>
                <w:rFonts w:asciiTheme="minorHAnsi" w:hAnsiTheme="minorHAnsi" w:cs="Times New Roman"/>
                <w:sz w:val="22"/>
                <w:szCs w:val="22"/>
              </w:rPr>
            </w:pPr>
          </w:p>
        </w:tc>
      </w:tr>
    </w:tbl>
    <w:p w14:paraId="3BDFC2B5" w14:textId="77777777" w:rsidR="00766EA0" w:rsidRPr="0063639B" w:rsidRDefault="00766EA0" w:rsidP="00766EA0">
      <w:pPr>
        <w:tabs>
          <w:tab w:val="left" w:pos="1260"/>
        </w:tabs>
        <w:spacing w:after="0" w:line="240" w:lineRule="auto"/>
        <w:jc w:val="center"/>
        <w:rPr>
          <w:rFonts w:asciiTheme="minorHAnsi" w:hAnsiTheme="minorHAnsi" w:cstheme="minorHAnsi"/>
          <w:b/>
          <w:bCs/>
          <w:sz w:val="28"/>
          <w:szCs w:val="24"/>
        </w:rPr>
      </w:pPr>
    </w:p>
    <w:p w14:paraId="123D7B04" w14:textId="77777777" w:rsidR="00766EA0" w:rsidRPr="0063639B" w:rsidRDefault="00766EA0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63639B">
        <w:rPr>
          <w:rFonts w:asciiTheme="minorHAnsi" w:hAnsiTheme="minorHAnsi" w:cstheme="minorHAnsi"/>
          <w:b/>
          <w:bCs/>
          <w:sz w:val="24"/>
          <w:szCs w:val="24"/>
        </w:rPr>
        <w:t>Funkčná špecifikácia predmetu zákazky</w:t>
      </w:r>
    </w:p>
    <w:p w14:paraId="620E7A64" w14:textId="77777777" w:rsidR="003861FD" w:rsidRDefault="003861FD" w:rsidP="0030766A">
      <w:pPr>
        <w:pStyle w:val="Odsekzoznamu"/>
        <w:tabs>
          <w:tab w:val="left" w:pos="6840"/>
        </w:tabs>
        <w:spacing w:after="0" w:line="240" w:lineRule="auto"/>
        <w:ind w:left="426"/>
        <w:jc w:val="both"/>
        <w:rPr>
          <w:bCs/>
          <w:sz w:val="24"/>
          <w:szCs w:val="24"/>
        </w:rPr>
      </w:pPr>
      <w:r w:rsidRPr="00C90DFE">
        <w:rPr>
          <w:bCs/>
          <w:sz w:val="24"/>
          <w:szCs w:val="24"/>
        </w:rPr>
        <w:t xml:space="preserve">Predmetom zákazky je dodanie </w:t>
      </w:r>
      <w:r>
        <w:rPr>
          <w:bCs/>
          <w:sz w:val="24"/>
          <w:szCs w:val="24"/>
        </w:rPr>
        <w:t xml:space="preserve">služieb verejnému obstarávateľovi (ďalej aj „SK, a.s.“), ktorými sa v informačnom systéme </w:t>
      </w:r>
      <w:r w:rsidRPr="00186C43">
        <w:rPr>
          <w:rFonts w:asciiTheme="minorHAnsi" w:hAnsiTheme="minorHAnsi"/>
          <w:sz w:val="24"/>
          <w:szCs w:val="24"/>
        </w:rPr>
        <w:t>pre správu a vymáhanie pohľadávok IS CDT2</w:t>
      </w:r>
      <w:r w:rsidRPr="00CE040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(ďalej aj „IS CDT2“) zabezpečí spracovanie veľkého množstva doručených požiadaviek na zastavenie starej exekúcie a s tým spojené procesy potrebné na posúdenie oprávneného zastavenia starej exekúcie, preverenie podmienok na podanie námietok proti Upovedomeniu o zastavení starej exekúcie, posúdenie majetkových pomerov dlžníka na podanie nového návrhu na vykonanie exekúcie. Pre posúdenie nároku na vyplatenie paušálnej odmeny exekútorovi je potrebné tiež preverenie zaevidovania exekučného konania v Centrálnom registri exekúcií, to si vyžiadalo integráciu na Centrálny register exekúcií a nastavenie procesu hromadného preverovania. V procese zastavovania starých exekúcií sa rieši tiež hromadný odpis pohľadávok za podmienky, keď sa nepristúpi k opätovnému podaniu návrhu na vykonanie exekúcie.</w:t>
      </w:r>
    </w:p>
    <w:p w14:paraId="607A41A4" w14:textId="77777777" w:rsidR="00060A6C" w:rsidRDefault="00060A6C" w:rsidP="00E84B9A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14:paraId="4D351F52" w14:textId="77777777" w:rsidR="003861FD" w:rsidRPr="0030766A" w:rsidRDefault="0030766A" w:rsidP="00E84B9A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/>
          <w:bCs/>
          <w:i/>
          <w:sz w:val="24"/>
          <w:szCs w:val="24"/>
        </w:rPr>
      </w:pPr>
      <w:r w:rsidRPr="0030766A">
        <w:rPr>
          <w:rFonts w:asciiTheme="minorHAnsi" w:hAnsiTheme="minorHAnsi"/>
          <w:b/>
          <w:bCs/>
          <w:i/>
          <w:sz w:val="24"/>
          <w:szCs w:val="24"/>
        </w:rPr>
        <w:t>Právny p</w:t>
      </w:r>
      <w:r w:rsidR="003861FD" w:rsidRPr="0030766A">
        <w:rPr>
          <w:rFonts w:asciiTheme="minorHAnsi" w:hAnsiTheme="minorHAnsi"/>
          <w:b/>
          <w:bCs/>
          <w:i/>
          <w:sz w:val="24"/>
          <w:szCs w:val="24"/>
        </w:rPr>
        <w:t>opis</w:t>
      </w:r>
      <w:r w:rsidRPr="0030766A">
        <w:rPr>
          <w:rFonts w:asciiTheme="minorHAnsi" w:hAnsiTheme="minorHAnsi"/>
          <w:b/>
          <w:bCs/>
          <w:i/>
          <w:sz w:val="24"/>
          <w:szCs w:val="24"/>
        </w:rPr>
        <w:t xml:space="preserve"> procesov:</w:t>
      </w:r>
      <w:r w:rsidR="003861FD" w:rsidRPr="0030766A">
        <w:rPr>
          <w:rFonts w:asciiTheme="minorHAnsi" w:hAnsiTheme="minorHAnsi"/>
          <w:b/>
          <w:bCs/>
          <w:i/>
          <w:sz w:val="24"/>
          <w:szCs w:val="24"/>
        </w:rPr>
        <w:t xml:space="preserve"> </w:t>
      </w:r>
    </w:p>
    <w:p w14:paraId="09FF7877" w14:textId="5ACF0241" w:rsidR="0030766A" w:rsidRPr="0093129B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30766A">
        <w:rPr>
          <w:rFonts w:asciiTheme="minorHAnsi" w:hAnsiTheme="minorHAnsi"/>
          <w:color w:val="auto"/>
          <w:sz w:val="24"/>
          <w:szCs w:val="24"/>
        </w:rPr>
        <w:t xml:space="preserve">Dňa </w:t>
      </w:r>
      <w:r w:rsidR="00C2473F">
        <w:rPr>
          <w:rFonts w:asciiTheme="minorHAnsi" w:hAnsiTheme="minorHAnsi"/>
          <w:color w:val="auto"/>
          <w:sz w:val="24"/>
          <w:szCs w:val="24"/>
        </w:rPr>
        <w:t>26</w:t>
      </w:r>
      <w:r w:rsidRPr="0030766A">
        <w:rPr>
          <w:rFonts w:asciiTheme="minorHAnsi" w:hAnsiTheme="minorHAnsi"/>
          <w:color w:val="auto"/>
          <w:sz w:val="24"/>
          <w:szCs w:val="24"/>
        </w:rPr>
        <w:t>.</w:t>
      </w:r>
      <w:r w:rsidR="00C2473F">
        <w:rPr>
          <w:rFonts w:asciiTheme="minorHAnsi" w:hAnsiTheme="minorHAnsi"/>
          <w:color w:val="auto"/>
          <w:sz w:val="24"/>
          <w:szCs w:val="24"/>
        </w:rPr>
        <w:t>6</w:t>
      </w:r>
      <w:r w:rsidRPr="0030766A">
        <w:rPr>
          <w:rFonts w:asciiTheme="minorHAnsi" w:hAnsiTheme="minorHAnsi"/>
          <w:color w:val="auto"/>
          <w:sz w:val="24"/>
          <w:szCs w:val="24"/>
        </w:rPr>
        <w:t xml:space="preserve">.2019 bol </w:t>
      </w:r>
      <w:r w:rsidR="00C2473F">
        <w:rPr>
          <w:rFonts w:asciiTheme="minorHAnsi" w:hAnsiTheme="minorHAnsi"/>
          <w:color w:val="auto"/>
          <w:sz w:val="24"/>
          <w:szCs w:val="24"/>
        </w:rPr>
        <w:t xml:space="preserve">Národnou radou Slovenskej republiky </w:t>
      </w:r>
      <w:r w:rsidRPr="0030766A">
        <w:rPr>
          <w:rFonts w:asciiTheme="minorHAnsi" w:hAnsiTheme="minorHAnsi"/>
          <w:color w:val="auto"/>
          <w:sz w:val="24"/>
          <w:szCs w:val="24"/>
        </w:rPr>
        <w:t>schválený a</w:t>
      </w:r>
      <w:r w:rsidR="00C2473F">
        <w:rPr>
          <w:rFonts w:asciiTheme="minorHAnsi" w:hAnsiTheme="minorHAnsi"/>
          <w:color w:val="auto"/>
          <w:sz w:val="24"/>
          <w:szCs w:val="24"/>
        </w:rPr>
        <w:t xml:space="preserve"> dňa </w:t>
      </w:r>
      <w:r w:rsidRPr="0030766A">
        <w:rPr>
          <w:rFonts w:asciiTheme="minorHAnsi" w:hAnsiTheme="minorHAnsi"/>
          <w:color w:val="auto"/>
          <w:sz w:val="24"/>
          <w:szCs w:val="24"/>
        </w:rPr>
        <w:t xml:space="preserve"> 1.1.2020  </w:t>
      </w:r>
      <w:r w:rsidR="00C2473F">
        <w:rPr>
          <w:rFonts w:asciiTheme="minorHAnsi" w:hAnsiTheme="minorHAnsi"/>
          <w:color w:val="auto"/>
          <w:sz w:val="24"/>
          <w:szCs w:val="24"/>
        </w:rPr>
        <w:t xml:space="preserve">nadobudne </w:t>
      </w:r>
      <w:r w:rsidRPr="0030766A">
        <w:rPr>
          <w:rFonts w:asciiTheme="minorHAnsi" w:hAnsiTheme="minorHAnsi"/>
          <w:color w:val="auto"/>
          <w:sz w:val="24"/>
          <w:szCs w:val="24"/>
        </w:rPr>
        <w:t>účinn</w:t>
      </w:r>
      <w:r w:rsidR="00C2473F">
        <w:rPr>
          <w:rFonts w:asciiTheme="minorHAnsi" w:hAnsiTheme="minorHAnsi"/>
          <w:color w:val="auto"/>
          <w:sz w:val="24"/>
          <w:szCs w:val="24"/>
        </w:rPr>
        <w:t>osť</w:t>
      </w:r>
      <w:r w:rsidRPr="0030766A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C2473F">
        <w:rPr>
          <w:rFonts w:asciiTheme="minorHAnsi" w:hAnsiTheme="minorHAnsi"/>
          <w:color w:val="auto"/>
          <w:sz w:val="24"/>
          <w:szCs w:val="24"/>
        </w:rPr>
        <w:t>z</w:t>
      </w:r>
      <w:r w:rsidRPr="00186C43">
        <w:rPr>
          <w:rFonts w:asciiTheme="minorHAnsi" w:hAnsiTheme="minorHAnsi"/>
          <w:color w:val="auto"/>
          <w:sz w:val="24"/>
          <w:szCs w:val="24"/>
        </w:rPr>
        <w:t>ákon č. 233/2019 Z. z.</w:t>
      </w:r>
      <w:r w:rsidRPr="0030766A">
        <w:rPr>
          <w:rFonts w:asciiTheme="minorHAnsi" w:hAnsiTheme="minorHAnsi"/>
          <w:color w:val="auto"/>
          <w:sz w:val="24"/>
          <w:szCs w:val="24"/>
        </w:rPr>
        <w:t xml:space="preserve"> o ukončení niektorých exekučných konaní a o zmene a doplnení niektorých zákonov (ďalej aj „Zákon o exekúciách“), ktorý</w:t>
      </w:r>
      <w:r w:rsidRPr="00186C43">
        <w:rPr>
          <w:rFonts w:asciiTheme="minorHAnsi" w:hAnsiTheme="minorHAnsi"/>
          <w:color w:val="auto"/>
          <w:sz w:val="24"/>
          <w:szCs w:val="24"/>
        </w:rPr>
        <w:t xml:space="preserve"> upravuje postup ukončenia exekučných konaní začatých pred 1. aprílom 2017 a vedených podľa predpisov účinných do 31. marca 2017</w:t>
      </w:r>
      <w:r w:rsidR="00E46F28">
        <w:rPr>
          <w:rFonts w:asciiTheme="minorHAnsi" w:hAnsiTheme="minorHAnsi"/>
          <w:color w:val="auto"/>
          <w:sz w:val="24"/>
          <w:szCs w:val="24"/>
        </w:rPr>
        <w:t>,</w:t>
      </w:r>
      <w:r w:rsidRPr="00186C43">
        <w:rPr>
          <w:rFonts w:asciiTheme="minorHAnsi" w:hAnsiTheme="minorHAnsi"/>
          <w:color w:val="auto"/>
          <w:sz w:val="24"/>
          <w:szCs w:val="24"/>
        </w:rPr>
        <w:t xml:space="preserve"> a osobitosti postupu pri podávaní opätovného návrhu na vykonanie exekúcie (opätovný návrh – </w:t>
      </w:r>
      <w:proofErr w:type="spellStart"/>
      <w:r w:rsidRPr="00186C43">
        <w:rPr>
          <w:rFonts w:asciiTheme="minorHAnsi" w:hAnsiTheme="minorHAnsi"/>
          <w:color w:val="auto"/>
          <w:sz w:val="24"/>
          <w:szCs w:val="24"/>
        </w:rPr>
        <w:t>repodaj</w:t>
      </w:r>
      <w:proofErr w:type="spellEnd"/>
      <w:r w:rsidRPr="00186C43">
        <w:rPr>
          <w:rFonts w:asciiTheme="minorHAnsi" w:hAnsiTheme="minorHAnsi"/>
          <w:color w:val="auto"/>
          <w:sz w:val="24"/>
          <w:szCs w:val="24"/>
        </w:rPr>
        <w:t>).</w:t>
      </w:r>
    </w:p>
    <w:p w14:paraId="28BD2162" w14:textId="77777777" w:rsidR="003861FD" w:rsidRPr="0030766A" w:rsidRDefault="003861FD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AB67042" w14:textId="77777777" w:rsidR="0030766A" w:rsidRPr="0030766A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 xml:space="preserve">Pre účely </w:t>
      </w:r>
      <w:r w:rsidRPr="0030766A">
        <w:rPr>
          <w:rFonts w:asciiTheme="minorHAnsi" w:hAnsiTheme="minorHAnsi"/>
          <w:color w:val="auto"/>
          <w:sz w:val="24"/>
          <w:szCs w:val="24"/>
        </w:rPr>
        <w:t>Z</w:t>
      </w:r>
      <w:r w:rsidRPr="00186C43">
        <w:rPr>
          <w:rFonts w:asciiTheme="minorHAnsi" w:hAnsiTheme="minorHAnsi"/>
          <w:color w:val="auto"/>
          <w:sz w:val="24"/>
          <w:szCs w:val="24"/>
        </w:rPr>
        <w:t xml:space="preserve">ákona </w:t>
      </w:r>
      <w:r w:rsidRPr="0030766A">
        <w:rPr>
          <w:rFonts w:asciiTheme="minorHAnsi" w:hAnsiTheme="minorHAnsi"/>
          <w:color w:val="auto"/>
          <w:sz w:val="24"/>
          <w:szCs w:val="24"/>
        </w:rPr>
        <w:t xml:space="preserve">o exekúciách </w:t>
      </w:r>
      <w:r w:rsidRPr="00186C43">
        <w:rPr>
          <w:rFonts w:asciiTheme="minorHAnsi" w:hAnsiTheme="minorHAnsi"/>
          <w:color w:val="auto"/>
          <w:sz w:val="24"/>
          <w:szCs w:val="24"/>
        </w:rPr>
        <w:t>sa starou exekúciou rozumie exekúcia začatá pred 1. aprílom 2017 vedená podľa predpisov účinných do 31. marca 2017.</w:t>
      </w:r>
    </w:p>
    <w:p w14:paraId="43FD9501" w14:textId="77777777" w:rsidR="0030766A" w:rsidRPr="0030766A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24A191B" w14:textId="6E6EA1E7" w:rsidR="0030766A" w:rsidRPr="0030766A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 xml:space="preserve">Stará exekúcia sa </w:t>
      </w:r>
      <w:r w:rsidR="00763D21">
        <w:rPr>
          <w:rFonts w:asciiTheme="minorHAnsi" w:hAnsiTheme="minorHAnsi"/>
          <w:color w:val="auto"/>
          <w:sz w:val="24"/>
          <w:szCs w:val="24"/>
        </w:rPr>
        <w:t>Z</w:t>
      </w:r>
      <w:r w:rsidRPr="00186C43">
        <w:rPr>
          <w:rFonts w:asciiTheme="minorHAnsi" w:hAnsiTheme="minorHAnsi"/>
          <w:color w:val="auto"/>
          <w:sz w:val="24"/>
          <w:szCs w:val="24"/>
        </w:rPr>
        <w:t xml:space="preserve">ákonom </w:t>
      </w:r>
      <w:r w:rsidR="00763D21">
        <w:rPr>
          <w:rFonts w:asciiTheme="minorHAnsi" w:hAnsiTheme="minorHAnsi"/>
          <w:color w:val="auto"/>
          <w:sz w:val="24"/>
          <w:szCs w:val="24"/>
        </w:rPr>
        <w:t xml:space="preserve">o exekúciách </w:t>
      </w:r>
      <w:r w:rsidRPr="00186C43">
        <w:rPr>
          <w:rFonts w:asciiTheme="minorHAnsi" w:hAnsiTheme="minorHAnsi"/>
          <w:color w:val="auto"/>
          <w:sz w:val="24"/>
          <w:szCs w:val="24"/>
        </w:rPr>
        <w:t>zastavuje, ak:</w:t>
      </w:r>
    </w:p>
    <w:p w14:paraId="1FB22788" w14:textId="77777777" w:rsidR="0030766A" w:rsidRPr="00186C43" w:rsidRDefault="0030766A" w:rsidP="0030766A">
      <w:pPr>
        <w:pStyle w:val="Nadpis1"/>
        <w:keepNext w:val="0"/>
        <w:keepLines w:val="0"/>
        <w:numPr>
          <w:ilvl w:val="0"/>
          <w:numId w:val="33"/>
        </w:numPr>
        <w:spacing w:before="0"/>
        <w:ind w:left="426" w:firstLine="0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uplynula rozhodná doba a nejde o exekúciu, ktorou sa vymáha výživné</w:t>
      </w:r>
      <w:r w:rsidR="00763D21">
        <w:rPr>
          <w:rFonts w:asciiTheme="minorHAnsi" w:hAnsiTheme="minorHAnsi"/>
          <w:color w:val="auto"/>
          <w:sz w:val="24"/>
          <w:szCs w:val="24"/>
        </w:rPr>
        <w:t>,</w:t>
      </w:r>
    </w:p>
    <w:p w14:paraId="10A356AA" w14:textId="77777777" w:rsidR="0030766A" w:rsidRPr="0030766A" w:rsidRDefault="0030766A" w:rsidP="0030766A">
      <w:pPr>
        <w:pStyle w:val="Nadpis1"/>
        <w:keepNext w:val="0"/>
        <w:keepLines w:val="0"/>
        <w:numPr>
          <w:ilvl w:val="0"/>
          <w:numId w:val="33"/>
        </w:numPr>
        <w:spacing w:before="0"/>
        <w:ind w:left="709" w:hanging="283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oprávnený alebo povinný zanikol bez právneho nástupcu alebo dedičské konanie po oprávnenom alebo povinnom bolo zastavené z dôvodu, že nezanechal žiaden majetok alebo zanechal majetok len nepatrnej hodnoty</w:t>
      </w:r>
      <w:r w:rsidR="00763D21">
        <w:rPr>
          <w:rFonts w:asciiTheme="minorHAnsi" w:hAnsiTheme="minorHAnsi"/>
          <w:color w:val="auto"/>
          <w:sz w:val="24"/>
          <w:szCs w:val="24"/>
        </w:rPr>
        <w:t>,</w:t>
      </w:r>
    </w:p>
    <w:p w14:paraId="65406B75" w14:textId="77777777" w:rsidR="0030766A" w:rsidRPr="0030766A" w:rsidRDefault="0030766A" w:rsidP="0030766A">
      <w:pPr>
        <w:pStyle w:val="Nadpis1"/>
        <w:keepNext w:val="0"/>
        <w:keepLines w:val="0"/>
        <w:numPr>
          <w:ilvl w:val="0"/>
          <w:numId w:val="33"/>
        </w:numPr>
        <w:spacing w:before="0"/>
        <w:ind w:left="709" w:hanging="283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 xml:space="preserve">zastavenie starej </w:t>
      </w:r>
      <w:r w:rsidR="00763D21">
        <w:rPr>
          <w:rFonts w:asciiTheme="minorHAnsi" w:hAnsiTheme="minorHAnsi"/>
          <w:color w:val="auto"/>
          <w:sz w:val="24"/>
          <w:szCs w:val="24"/>
        </w:rPr>
        <w:t xml:space="preserve">exekúcie </w:t>
      </w:r>
      <w:r w:rsidRPr="00186C43">
        <w:rPr>
          <w:rFonts w:asciiTheme="minorHAnsi" w:hAnsiTheme="minorHAnsi"/>
          <w:color w:val="auto"/>
          <w:sz w:val="24"/>
          <w:szCs w:val="24"/>
        </w:rPr>
        <w:t>navrhol oprávnený alebo</w:t>
      </w:r>
    </w:p>
    <w:p w14:paraId="73674E14" w14:textId="77777777" w:rsidR="0030766A" w:rsidRPr="0030766A" w:rsidRDefault="0030766A" w:rsidP="0030766A">
      <w:pPr>
        <w:pStyle w:val="Nadpis1"/>
        <w:keepNext w:val="0"/>
        <w:keepLines w:val="0"/>
        <w:numPr>
          <w:ilvl w:val="0"/>
          <w:numId w:val="33"/>
        </w:numPr>
        <w:spacing w:before="0"/>
        <w:ind w:left="709" w:hanging="283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dôvod na zastavenie starej exekúcie vyplýva z osobitného predpisu upravujúceho konkurzné konanie</w:t>
      </w:r>
      <w:r w:rsidR="00763D21">
        <w:rPr>
          <w:rFonts w:asciiTheme="minorHAnsi" w:hAnsiTheme="minorHAnsi"/>
          <w:color w:val="auto"/>
          <w:sz w:val="24"/>
          <w:szCs w:val="24"/>
        </w:rPr>
        <w:t>.</w:t>
      </w:r>
    </w:p>
    <w:p w14:paraId="5D2B48A7" w14:textId="77777777" w:rsidR="0030766A" w:rsidRPr="00186C43" w:rsidRDefault="0030766A" w:rsidP="0030766A">
      <w:pPr>
        <w:pStyle w:val="Nadpis1"/>
        <w:spacing w:before="0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14:paraId="608F2461" w14:textId="712EA73C" w:rsidR="0030766A" w:rsidRPr="00186C43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Sledovanie rozhodnej doby pre zastavenie starej exekúcie je doba piatich rokov od dátumu doručenia prvého poverenia exekútorovi na vykonanie exekúcie. Ak v rozhodnej dobe nedošlo k vymoženiu celého vymáhaného nároku, platí, že  sa nezistil majetok, ktorý by stačil aspoň na úhradu trov starej exekúcie.</w:t>
      </w:r>
    </w:p>
    <w:p w14:paraId="6E7384C9" w14:textId="77777777" w:rsidR="0030766A" w:rsidRPr="00186C43" w:rsidRDefault="0030766A" w:rsidP="0030766A">
      <w:pPr>
        <w:pStyle w:val="Nadpis1"/>
        <w:spacing w:before="0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14:paraId="60BA1445" w14:textId="1C1D8899" w:rsidR="0030766A" w:rsidRPr="00186C43" w:rsidRDefault="00763D21" w:rsidP="0030766A">
      <w:pPr>
        <w:pStyle w:val="Nadpis1"/>
        <w:spacing w:before="0"/>
        <w:ind w:left="426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763D21">
        <w:rPr>
          <w:rFonts w:asciiTheme="minorHAnsi" w:hAnsiTheme="minorHAnsi"/>
          <w:color w:val="auto"/>
          <w:sz w:val="24"/>
          <w:szCs w:val="24"/>
        </w:rPr>
        <w:t>Ak súd ku dňu, keď sa má stará exekúcia podľa Zákona o exekúciách zastaviť rozhoduje o odklade starej exekúcie a odklad starej exekúcie povolí, odklad starej exekúcie je povolený alebo je stará exekúcia odložená, rozhodná doba sa predlžuje o 12 mesiacov odo dňa uplynutia doby, na ktorú je stará exekúcia odložená.</w:t>
      </w:r>
      <w:r w:rsidR="0030766A" w:rsidRPr="00186C43">
        <w:rPr>
          <w:rFonts w:asciiTheme="minorHAnsi" w:hAnsiTheme="minorHAnsi"/>
          <w:color w:val="auto"/>
          <w:sz w:val="24"/>
          <w:szCs w:val="24"/>
        </w:rPr>
        <w:t xml:space="preserve"> </w:t>
      </w:r>
    </w:p>
    <w:p w14:paraId="5DA881A4" w14:textId="77777777" w:rsidR="0030766A" w:rsidRPr="00186C43" w:rsidRDefault="0030766A" w:rsidP="0030766A">
      <w:pPr>
        <w:pStyle w:val="Nadpis1"/>
        <w:spacing w:before="0"/>
        <w:jc w:val="both"/>
        <w:rPr>
          <w:rFonts w:asciiTheme="minorHAnsi" w:hAnsiTheme="minorHAnsi"/>
          <w:b/>
          <w:color w:val="auto"/>
          <w:sz w:val="24"/>
          <w:szCs w:val="24"/>
        </w:rPr>
      </w:pPr>
    </w:p>
    <w:p w14:paraId="248263F8" w14:textId="77777777" w:rsidR="0030766A" w:rsidRPr="00186C43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Rozhodná doba neuplynie skôr ako 12 mesiacov od právoplatnosti rozhodnutia súdu, ak súd ku dňu</w:t>
      </w:r>
      <w:r w:rsidR="00763D21">
        <w:rPr>
          <w:rFonts w:asciiTheme="minorHAnsi" w:hAnsiTheme="minorHAnsi"/>
          <w:color w:val="auto"/>
          <w:sz w:val="24"/>
          <w:szCs w:val="24"/>
        </w:rPr>
        <w:t>,</w:t>
      </w:r>
      <w:r w:rsidRPr="00186C43">
        <w:rPr>
          <w:rFonts w:asciiTheme="minorHAnsi" w:hAnsiTheme="minorHAnsi"/>
          <w:color w:val="auto"/>
          <w:sz w:val="24"/>
          <w:szCs w:val="24"/>
        </w:rPr>
        <w:t xml:space="preserve"> keď sa má stará exekúcia zastaviť, rozhoduje o:</w:t>
      </w:r>
    </w:p>
    <w:p w14:paraId="3941F072" w14:textId="77777777" w:rsidR="0030766A" w:rsidRPr="00186C43" w:rsidRDefault="0030766A" w:rsidP="0030766A">
      <w:pPr>
        <w:pStyle w:val="Nadpis1"/>
        <w:keepNext w:val="0"/>
        <w:keepLines w:val="0"/>
        <w:numPr>
          <w:ilvl w:val="0"/>
          <w:numId w:val="34"/>
        </w:numPr>
        <w:spacing w:before="0"/>
        <w:ind w:left="567" w:hanging="141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námietkach proti zastaveniu starej exekúcie</w:t>
      </w:r>
      <w:r w:rsidR="00763D21">
        <w:rPr>
          <w:rFonts w:asciiTheme="minorHAnsi" w:hAnsiTheme="minorHAnsi"/>
          <w:color w:val="auto"/>
          <w:sz w:val="24"/>
          <w:szCs w:val="24"/>
        </w:rPr>
        <w:t>,</w:t>
      </w:r>
    </w:p>
    <w:p w14:paraId="31B2069A" w14:textId="77777777" w:rsidR="0030766A" w:rsidRPr="0030766A" w:rsidRDefault="0030766A" w:rsidP="0030766A">
      <w:pPr>
        <w:pStyle w:val="Nadpis1"/>
        <w:keepNext w:val="0"/>
        <w:keepLines w:val="0"/>
        <w:numPr>
          <w:ilvl w:val="0"/>
          <w:numId w:val="34"/>
        </w:numPr>
        <w:spacing w:before="0"/>
        <w:ind w:left="567" w:hanging="141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zastavení starej exekúcie</w:t>
      </w:r>
      <w:r w:rsidR="00763D21">
        <w:rPr>
          <w:rFonts w:asciiTheme="minorHAnsi" w:hAnsiTheme="minorHAnsi"/>
          <w:color w:val="auto"/>
          <w:sz w:val="24"/>
          <w:szCs w:val="24"/>
        </w:rPr>
        <w:t>,</w:t>
      </w:r>
    </w:p>
    <w:p w14:paraId="15B41CD6" w14:textId="77777777" w:rsidR="0030766A" w:rsidRPr="0030766A" w:rsidRDefault="0030766A" w:rsidP="0030766A">
      <w:pPr>
        <w:pStyle w:val="Nadpis1"/>
        <w:keepNext w:val="0"/>
        <w:keepLines w:val="0"/>
        <w:numPr>
          <w:ilvl w:val="0"/>
          <w:numId w:val="34"/>
        </w:numPr>
        <w:spacing w:before="0"/>
        <w:ind w:left="567" w:hanging="141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odklade starej exekúcie a odklad starej exekúcie nepovolí</w:t>
      </w:r>
      <w:r w:rsidR="00763D21">
        <w:rPr>
          <w:rFonts w:asciiTheme="minorHAnsi" w:hAnsiTheme="minorHAnsi"/>
          <w:color w:val="auto"/>
          <w:sz w:val="24"/>
          <w:szCs w:val="24"/>
        </w:rPr>
        <w:t>,</w:t>
      </w:r>
    </w:p>
    <w:p w14:paraId="39C2FDE2" w14:textId="77777777" w:rsidR="0030766A" w:rsidRPr="0030766A" w:rsidRDefault="0030766A" w:rsidP="0030766A">
      <w:pPr>
        <w:pStyle w:val="Nadpis1"/>
        <w:keepNext w:val="0"/>
        <w:keepLines w:val="0"/>
        <w:numPr>
          <w:ilvl w:val="0"/>
          <w:numId w:val="34"/>
        </w:numPr>
        <w:spacing w:before="0"/>
        <w:ind w:left="567" w:hanging="141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vylúčení veci zo starej exekúcie</w:t>
      </w:r>
      <w:r w:rsidR="00763D21">
        <w:rPr>
          <w:rFonts w:asciiTheme="minorHAnsi" w:hAnsiTheme="minorHAnsi"/>
          <w:color w:val="auto"/>
          <w:sz w:val="24"/>
          <w:szCs w:val="24"/>
        </w:rPr>
        <w:t>,</w:t>
      </w:r>
    </w:p>
    <w:p w14:paraId="08928D2A" w14:textId="77777777" w:rsidR="0030766A" w:rsidRPr="0030766A" w:rsidRDefault="0030766A" w:rsidP="0030766A">
      <w:pPr>
        <w:pStyle w:val="Nadpis1"/>
        <w:keepNext w:val="0"/>
        <w:keepLines w:val="0"/>
        <w:numPr>
          <w:ilvl w:val="0"/>
          <w:numId w:val="34"/>
        </w:numPr>
        <w:spacing w:before="0"/>
        <w:ind w:left="567" w:hanging="141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návrhu na pripustenie zmeny účastníka exekučného konania na strane povinného a zmenu účastníka exekučného konania povolí</w:t>
      </w:r>
      <w:r w:rsidR="00763D21">
        <w:rPr>
          <w:rFonts w:asciiTheme="minorHAnsi" w:hAnsiTheme="minorHAnsi"/>
          <w:color w:val="auto"/>
          <w:sz w:val="24"/>
          <w:szCs w:val="24"/>
        </w:rPr>
        <w:t>,</w:t>
      </w:r>
    </w:p>
    <w:p w14:paraId="793E315D" w14:textId="77777777" w:rsidR="0030766A" w:rsidRPr="0030766A" w:rsidRDefault="0030766A" w:rsidP="0030766A">
      <w:pPr>
        <w:pStyle w:val="Nadpis1"/>
        <w:keepNext w:val="0"/>
        <w:keepLines w:val="0"/>
        <w:numPr>
          <w:ilvl w:val="0"/>
          <w:numId w:val="34"/>
        </w:numPr>
        <w:spacing w:before="0"/>
        <w:ind w:left="567" w:hanging="141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schválení príklepu</w:t>
      </w:r>
      <w:r w:rsidR="00763D21">
        <w:rPr>
          <w:rFonts w:asciiTheme="minorHAnsi" w:hAnsiTheme="minorHAnsi"/>
          <w:color w:val="auto"/>
          <w:sz w:val="24"/>
          <w:szCs w:val="24"/>
        </w:rPr>
        <w:t>,</w:t>
      </w:r>
    </w:p>
    <w:p w14:paraId="61F8A3F6" w14:textId="77777777" w:rsidR="0030766A" w:rsidRPr="00186C43" w:rsidRDefault="0030766A" w:rsidP="0030766A">
      <w:pPr>
        <w:pStyle w:val="Nadpis1"/>
        <w:keepNext w:val="0"/>
        <w:keepLines w:val="0"/>
        <w:numPr>
          <w:ilvl w:val="0"/>
          <w:numId w:val="34"/>
        </w:numPr>
        <w:spacing w:before="0"/>
        <w:ind w:left="567" w:hanging="141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schválení rozvrhu výťažku</w:t>
      </w:r>
      <w:r w:rsidR="00763D21">
        <w:rPr>
          <w:rFonts w:asciiTheme="minorHAnsi" w:hAnsiTheme="minorHAnsi"/>
          <w:color w:val="auto"/>
          <w:sz w:val="24"/>
          <w:szCs w:val="24"/>
        </w:rPr>
        <w:t>.</w:t>
      </w:r>
    </w:p>
    <w:p w14:paraId="1AB6F2DB" w14:textId="77777777" w:rsidR="0030766A" w:rsidRPr="0030766A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778F70E8" w14:textId="249C708D" w:rsidR="0030766A" w:rsidRPr="0030766A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Upovedomenie o zastavení starej exekúcie vyhotoví exekútor a zašle oprávnenému najneskôr do 120 dní od zastavenie starej exekúcie. Dátum doručenia Upovedomenia o zastavení starej exekúcie je dôležitý údaj. Od toho dátumu sa počíta doba na podanie námietok proti upovedomeniu o zastavení starej exekúcie. Dôležitý je tento dátum pre posudzovanie nároku na paušáln</w:t>
      </w:r>
      <w:r w:rsidR="00763D21">
        <w:rPr>
          <w:rFonts w:asciiTheme="minorHAnsi" w:hAnsiTheme="minorHAnsi"/>
          <w:color w:val="auto"/>
          <w:sz w:val="24"/>
          <w:szCs w:val="24"/>
        </w:rPr>
        <w:t xml:space="preserve">e trovy </w:t>
      </w:r>
      <w:r w:rsidRPr="00186C43">
        <w:rPr>
          <w:rFonts w:asciiTheme="minorHAnsi" w:hAnsiTheme="minorHAnsi"/>
          <w:color w:val="auto"/>
          <w:sz w:val="24"/>
          <w:szCs w:val="24"/>
        </w:rPr>
        <w:t xml:space="preserve">exekútora. </w:t>
      </w:r>
    </w:p>
    <w:p w14:paraId="54EB5AB5" w14:textId="77777777" w:rsidR="0030766A" w:rsidRPr="0030766A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6403B748" w14:textId="49BE1514" w:rsidR="0030766A" w:rsidRPr="0030766A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Pre spracovanie upovedomení o zastavení starej exekúcie a posudzovanie nároku na paušáln</w:t>
      </w:r>
      <w:r w:rsidR="00763D21">
        <w:rPr>
          <w:rFonts w:asciiTheme="minorHAnsi" w:hAnsiTheme="minorHAnsi"/>
          <w:color w:val="auto"/>
          <w:sz w:val="24"/>
          <w:szCs w:val="24"/>
        </w:rPr>
        <w:t>e</w:t>
      </w:r>
      <w:r w:rsidRPr="00186C43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763D21">
        <w:rPr>
          <w:rFonts w:asciiTheme="minorHAnsi" w:hAnsiTheme="minorHAnsi"/>
          <w:color w:val="auto"/>
          <w:sz w:val="24"/>
          <w:szCs w:val="24"/>
        </w:rPr>
        <w:t>trovy</w:t>
      </w:r>
      <w:r w:rsidRPr="00186C43">
        <w:rPr>
          <w:rFonts w:asciiTheme="minorHAnsi" w:hAnsiTheme="minorHAnsi"/>
          <w:color w:val="auto"/>
          <w:sz w:val="24"/>
          <w:szCs w:val="24"/>
        </w:rPr>
        <w:t xml:space="preserve"> je sledovaná evidencia starej exekúcie v Centrálnom registri exekúcií. Na zisťovanie uvedenej skutočnosti je potrebné mať rozdelené informácie o povinnom v štruktúre osobitne meno, osobitne priezvisko, osobitne dátum narodenia, osobitne IČO pri právnických osobách. </w:t>
      </w:r>
    </w:p>
    <w:p w14:paraId="7D9B23B6" w14:textId="77777777" w:rsidR="0030766A" w:rsidRPr="0030766A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3B60629" w14:textId="77777777" w:rsidR="0030766A" w:rsidRPr="0030766A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 xml:space="preserve">Definovaná štruktúra osobných údajov o povinnom sa využíva tiež pri preverovaní majetkových pomeroch povinného. </w:t>
      </w:r>
    </w:p>
    <w:p w14:paraId="39173547" w14:textId="77777777" w:rsidR="0030766A" w:rsidRPr="0030766A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color w:val="auto"/>
          <w:sz w:val="24"/>
          <w:szCs w:val="24"/>
        </w:rPr>
      </w:pPr>
    </w:p>
    <w:p w14:paraId="4A63AB3A" w14:textId="77777777" w:rsidR="0030766A" w:rsidRPr="00186C43" w:rsidRDefault="0030766A" w:rsidP="0030766A">
      <w:pPr>
        <w:pStyle w:val="Nadpis1"/>
        <w:spacing w:before="0"/>
        <w:ind w:left="426"/>
        <w:jc w:val="both"/>
        <w:rPr>
          <w:rFonts w:asciiTheme="minorHAnsi" w:hAnsiTheme="minorHAnsi"/>
          <w:b/>
          <w:color w:val="auto"/>
          <w:sz w:val="24"/>
          <w:szCs w:val="24"/>
        </w:rPr>
      </w:pPr>
      <w:r w:rsidRPr="00186C43">
        <w:rPr>
          <w:rFonts w:asciiTheme="minorHAnsi" w:hAnsiTheme="minorHAnsi"/>
          <w:color w:val="auto"/>
          <w:sz w:val="24"/>
          <w:szCs w:val="24"/>
        </w:rPr>
        <w:t>Pre posúdenie opätovného podania návrhu na vykonanie exekúcie sú dôležité majetkové pomery dlžníka, ktoré je potrebné preveriť a zaevidovať v</w:t>
      </w:r>
      <w:r w:rsidRPr="0030766A">
        <w:rPr>
          <w:rFonts w:asciiTheme="minorHAnsi" w:hAnsiTheme="minorHAnsi"/>
          <w:color w:val="auto"/>
          <w:sz w:val="24"/>
          <w:szCs w:val="24"/>
        </w:rPr>
        <w:t> IS </w:t>
      </w:r>
      <w:r w:rsidRPr="00186C43">
        <w:rPr>
          <w:rFonts w:asciiTheme="minorHAnsi" w:hAnsiTheme="minorHAnsi"/>
          <w:color w:val="auto"/>
          <w:sz w:val="24"/>
          <w:szCs w:val="24"/>
        </w:rPr>
        <w:t>CDT2. Informácia o vydaní exekučného príkazu je dôležitý údaj pre sledovanie podmienok na podanie opätovného návrhu na vykonanie exekúcie.</w:t>
      </w:r>
    </w:p>
    <w:p w14:paraId="6CACA004" w14:textId="77777777" w:rsidR="0030766A" w:rsidRPr="0063639B" w:rsidRDefault="0030766A" w:rsidP="00E84B9A">
      <w:pPr>
        <w:pStyle w:val="Odsekzoznamu"/>
        <w:spacing w:after="0" w:line="240" w:lineRule="auto"/>
        <w:ind w:left="426"/>
        <w:jc w:val="both"/>
        <w:rPr>
          <w:rFonts w:asciiTheme="minorHAnsi" w:hAnsiTheme="minorHAnsi"/>
          <w:bCs/>
          <w:sz w:val="24"/>
          <w:szCs w:val="24"/>
        </w:rPr>
      </w:pPr>
    </w:p>
    <w:p w14:paraId="3583B263" w14:textId="77777777" w:rsidR="00766EA0" w:rsidRPr="0063639B" w:rsidRDefault="00766EA0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63639B">
        <w:rPr>
          <w:rFonts w:asciiTheme="minorHAnsi" w:hAnsiTheme="minorHAnsi"/>
          <w:b/>
          <w:sz w:val="24"/>
          <w:szCs w:val="24"/>
        </w:rPr>
        <w:t>Popis existujúceho stavu</w:t>
      </w:r>
    </w:p>
    <w:p w14:paraId="185F6066" w14:textId="77777777" w:rsidR="00A64822" w:rsidRPr="0063639B" w:rsidRDefault="00A64822" w:rsidP="00060A6C">
      <w:pPr>
        <w:pStyle w:val="Odsekzoznamu"/>
        <w:spacing w:after="0" w:line="240" w:lineRule="auto"/>
        <w:ind w:left="426"/>
        <w:jc w:val="both"/>
        <w:rPr>
          <w:rFonts w:asciiTheme="minorHAnsi" w:eastAsia="Times New Roman" w:hAnsiTheme="minorHAnsi"/>
          <w:bCs/>
          <w:iCs/>
          <w:sz w:val="24"/>
          <w:szCs w:val="24"/>
        </w:rPr>
      </w:pPr>
      <w:r w:rsidRPr="0063639B">
        <w:rPr>
          <w:rFonts w:asciiTheme="minorHAnsi" w:eastAsia="Times New Roman" w:hAnsiTheme="minorHAnsi"/>
          <w:bCs/>
          <w:iCs/>
          <w:sz w:val="24"/>
          <w:szCs w:val="24"/>
        </w:rPr>
        <w:t xml:space="preserve">IS CDT2 je systém pre správu a vymáhanie pohľadávok, kde sa evidujú jednotlivé formy vymáhania ako sú: exekúcie, konkurzy, likvidácie, dobrovoľné dražby, dedičské konania, súdne spory. Slúži na evidovanie komunikácie so správcami konkurznej podstaty, exekútormi, ďalej prebieha automatické denné sťahovanie Obchodného vestníka a párovanie na portfólio SK, a.s. </w:t>
      </w:r>
      <w:proofErr w:type="spellStart"/>
      <w:r w:rsidRPr="0063639B">
        <w:rPr>
          <w:rFonts w:asciiTheme="minorHAnsi" w:eastAsia="Times New Roman" w:hAnsiTheme="minorHAnsi"/>
          <w:bCs/>
          <w:iCs/>
          <w:sz w:val="24"/>
          <w:szCs w:val="24"/>
        </w:rPr>
        <w:t>Napárované</w:t>
      </w:r>
      <w:proofErr w:type="spellEnd"/>
      <w:r w:rsidRPr="0063639B">
        <w:rPr>
          <w:rFonts w:asciiTheme="minorHAnsi" w:eastAsia="Times New Roman" w:hAnsiTheme="minorHAnsi"/>
          <w:bCs/>
          <w:iCs/>
          <w:sz w:val="24"/>
          <w:szCs w:val="24"/>
        </w:rPr>
        <w:t xml:space="preserve"> informácie z Obchodného vestníka sa automaticky rozosielajú zamestnancom</w:t>
      </w:r>
      <w:r w:rsidR="003861FD">
        <w:rPr>
          <w:rFonts w:asciiTheme="minorHAnsi" w:eastAsia="Times New Roman" w:hAnsiTheme="minorHAnsi"/>
          <w:bCs/>
          <w:iCs/>
          <w:sz w:val="24"/>
          <w:szCs w:val="24"/>
        </w:rPr>
        <w:t xml:space="preserve"> SK, a.s.</w:t>
      </w:r>
      <w:r w:rsidRPr="0063639B">
        <w:rPr>
          <w:rFonts w:asciiTheme="minorHAnsi" w:eastAsia="Times New Roman" w:hAnsiTheme="minorHAnsi"/>
          <w:bCs/>
          <w:iCs/>
          <w:sz w:val="24"/>
          <w:szCs w:val="24"/>
        </w:rPr>
        <w:t>, ktorí majú v správe príslušný subjekt.</w:t>
      </w:r>
    </w:p>
    <w:p w14:paraId="1E01FA21" w14:textId="77777777" w:rsidR="00060A6C" w:rsidRDefault="00060A6C" w:rsidP="00060A6C">
      <w:pPr>
        <w:pStyle w:val="Odsekzoznamu"/>
        <w:spacing w:after="0" w:line="240" w:lineRule="auto"/>
        <w:ind w:left="426"/>
        <w:jc w:val="both"/>
        <w:rPr>
          <w:rFonts w:asciiTheme="minorHAnsi" w:eastAsia="Times New Roman" w:hAnsiTheme="minorHAnsi"/>
          <w:bCs/>
          <w:iCs/>
          <w:sz w:val="24"/>
          <w:szCs w:val="24"/>
        </w:rPr>
      </w:pPr>
    </w:p>
    <w:p w14:paraId="1D387E78" w14:textId="77777777" w:rsidR="0030766A" w:rsidRPr="0063639B" w:rsidRDefault="0030766A" w:rsidP="00060A6C">
      <w:pPr>
        <w:pStyle w:val="Odsekzoznamu"/>
        <w:spacing w:after="0" w:line="240" w:lineRule="auto"/>
        <w:ind w:left="426"/>
        <w:jc w:val="both"/>
        <w:rPr>
          <w:rFonts w:asciiTheme="minorHAnsi" w:eastAsia="Times New Roman" w:hAnsiTheme="minorHAnsi"/>
          <w:bCs/>
          <w:iCs/>
          <w:sz w:val="24"/>
          <w:szCs w:val="24"/>
        </w:rPr>
      </w:pPr>
    </w:p>
    <w:p w14:paraId="1B588A5A" w14:textId="77777777" w:rsidR="00766EA0" w:rsidRDefault="005B2B79" w:rsidP="00E84B9A">
      <w:pPr>
        <w:pStyle w:val="Odsekzoznamu"/>
        <w:numPr>
          <w:ilvl w:val="0"/>
          <w:numId w:val="17"/>
        </w:numPr>
        <w:tabs>
          <w:tab w:val="left" w:pos="1260"/>
        </w:tabs>
        <w:spacing w:after="0" w:line="240" w:lineRule="auto"/>
        <w:ind w:left="426" w:hanging="426"/>
        <w:contextualSpacing w:val="0"/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63639B">
        <w:rPr>
          <w:rFonts w:asciiTheme="minorHAnsi" w:hAnsiTheme="minorHAnsi"/>
          <w:b/>
          <w:sz w:val="24"/>
          <w:szCs w:val="24"/>
        </w:rPr>
        <w:lastRenderedPageBreak/>
        <w:t>Technická a funkčná špecifikácia</w:t>
      </w:r>
      <w:r w:rsidR="00766EA0" w:rsidRPr="0063639B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14:paraId="25423AF5" w14:textId="77777777" w:rsidR="003861FD" w:rsidRPr="004569AF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b/>
          <w:bCs/>
          <w:sz w:val="24"/>
          <w:szCs w:val="24"/>
          <w:u w:val="single"/>
        </w:rPr>
      </w:pPr>
      <w:r w:rsidRPr="003861FD">
        <w:rPr>
          <w:rFonts w:asciiTheme="minorHAnsi" w:hAnsiTheme="minorHAnsi"/>
          <w:bCs/>
          <w:sz w:val="24"/>
          <w:szCs w:val="24"/>
        </w:rPr>
        <w:t>Rozšírenie</w:t>
      </w:r>
      <w:r w:rsidRPr="004569AF">
        <w:rPr>
          <w:sz w:val="24"/>
          <w:szCs w:val="24"/>
        </w:rPr>
        <w:t xml:space="preserve"> evidenčných údajov o subjekte, osobitne meno, priezvisko, titul pred menom, titul za menom, rodné priezvisko, pohlavie, ulica, súpisné číslo, evidenčné číslo, PSČ, mesto. Upraviť  import rozpr</w:t>
      </w:r>
      <w:r>
        <w:rPr>
          <w:sz w:val="24"/>
          <w:szCs w:val="24"/>
        </w:rPr>
        <w:t>aco</w:t>
      </w:r>
      <w:r w:rsidRPr="004569AF">
        <w:rPr>
          <w:sz w:val="24"/>
          <w:szCs w:val="24"/>
        </w:rPr>
        <w:t xml:space="preserve">vaných údajov o subjekte zo SRS. Osobitne vytvoriť položku na rodné číslo a zvlášť na IČO. </w:t>
      </w:r>
      <w:r w:rsidRPr="004569AF">
        <w:rPr>
          <w:color w:val="000000" w:themeColor="text1"/>
          <w:sz w:val="24"/>
          <w:szCs w:val="24"/>
        </w:rPr>
        <w:t>Vymenované údaje zobrazovať v prehľade dlžníkov. V prehľade zobrazovať aj údaj dátum narodenia, ktorý je už evidovaný vo zvlášť  vytvorenom poli. Editovateľnosť novovytvorených polí nastaviť podľa spôsobu napĺňania, ktorý umožní editovať pole priamo v IS CDT</w:t>
      </w:r>
      <w:r w:rsidR="0030766A">
        <w:rPr>
          <w:color w:val="000000" w:themeColor="text1"/>
          <w:sz w:val="24"/>
          <w:szCs w:val="24"/>
        </w:rPr>
        <w:t>2</w:t>
      </w:r>
      <w:r w:rsidRPr="004569AF">
        <w:rPr>
          <w:color w:val="000000" w:themeColor="text1"/>
          <w:sz w:val="24"/>
          <w:szCs w:val="24"/>
        </w:rPr>
        <w:t xml:space="preserve"> alebo bude predmetom importu z externého zdroja.</w:t>
      </w:r>
    </w:p>
    <w:p w14:paraId="78DC8E89" w14:textId="77777777" w:rsidR="003861FD" w:rsidRPr="004569AF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b/>
          <w:bCs/>
          <w:sz w:val="24"/>
          <w:szCs w:val="24"/>
          <w:u w:val="single"/>
        </w:rPr>
      </w:pPr>
      <w:r w:rsidRPr="004569AF">
        <w:rPr>
          <w:color w:val="000000" w:themeColor="text1"/>
          <w:sz w:val="24"/>
          <w:szCs w:val="24"/>
        </w:rPr>
        <w:t>Spracovanie vyťažovaných údajov z dokumentov v </w:t>
      </w:r>
      <w:proofErr w:type="spellStart"/>
      <w:r w:rsidRPr="004569AF">
        <w:rPr>
          <w:color w:val="000000" w:themeColor="text1"/>
          <w:sz w:val="24"/>
          <w:szCs w:val="24"/>
        </w:rPr>
        <w:t>Gscan</w:t>
      </w:r>
      <w:proofErr w:type="spellEnd"/>
      <w:r w:rsidRPr="004569AF">
        <w:rPr>
          <w:color w:val="000000" w:themeColor="text1"/>
          <w:sz w:val="24"/>
          <w:szCs w:val="24"/>
        </w:rPr>
        <w:t xml:space="preserve"> a s tým súvisiace spracovanie procesov exekučných konaní v IS CDT</w:t>
      </w:r>
      <w:r w:rsidR="0030766A">
        <w:rPr>
          <w:color w:val="000000" w:themeColor="text1"/>
          <w:sz w:val="24"/>
          <w:szCs w:val="24"/>
        </w:rPr>
        <w:t>2</w:t>
      </w:r>
      <w:r w:rsidRPr="004569AF">
        <w:rPr>
          <w:color w:val="000000" w:themeColor="text1"/>
          <w:sz w:val="24"/>
          <w:szCs w:val="24"/>
        </w:rPr>
        <w:t>. Z vyťažených údajov sa budú dopĺňať do IS CDT</w:t>
      </w:r>
      <w:r w:rsidR="0030766A">
        <w:rPr>
          <w:color w:val="000000" w:themeColor="text1"/>
          <w:sz w:val="24"/>
          <w:szCs w:val="24"/>
        </w:rPr>
        <w:t>2</w:t>
      </w:r>
      <w:r w:rsidRPr="004569AF">
        <w:rPr>
          <w:color w:val="000000" w:themeColor="text1"/>
          <w:sz w:val="24"/>
          <w:szCs w:val="24"/>
        </w:rPr>
        <w:t xml:space="preserve"> potrebné dátumy, ktoré budú slúžiť na posúvanie procesov v rámci procesu zastavenia starých exekúcií. Nastavenie sledovania lehôt pre podanie námietok proti zastaveniu starej exekúcie alebo  pre podanie nového návrhu na vykonanie exekúcie. Zapracovanie kontroly na doručenie upovedomenia o zastavení exekúcie exekútorom. Pri omeškaní doručenia upovedomenia exekútor nemá nárok na úhradu paušálnej odmeny. Sledovanie zaevidovania exekučného konania v Centrálnom registri exekúcií, sledovanie prichádzajúcich úhrad a automatické vyraďovanie exekučných konaní z prvotného zaradenie do zoznamu starých exekúcií navrhnutých na zastavenie.</w:t>
      </w:r>
    </w:p>
    <w:p w14:paraId="40550D30" w14:textId="77777777" w:rsidR="003861FD" w:rsidRPr="004569AF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color w:val="000000" w:themeColor="text1"/>
          <w:sz w:val="24"/>
          <w:szCs w:val="24"/>
        </w:rPr>
      </w:pPr>
      <w:r w:rsidRPr="004569AF">
        <w:rPr>
          <w:color w:val="000000" w:themeColor="text1"/>
          <w:sz w:val="24"/>
          <w:szCs w:val="24"/>
        </w:rPr>
        <w:t>Spracovanie námietok proti zastaveniu starej exekúcie, spracovanie navrhnúť na dve možnosti na individuálne aj hromadné spracovanie. Podľa formulára na podanie námietok pripraviť potrebné údaje pre vyplnenie formulára a </w:t>
      </w:r>
      <w:proofErr w:type="spellStart"/>
      <w:r w:rsidRPr="004569AF">
        <w:rPr>
          <w:color w:val="000000" w:themeColor="text1"/>
          <w:sz w:val="24"/>
          <w:szCs w:val="24"/>
        </w:rPr>
        <w:t>predgenerovať</w:t>
      </w:r>
      <w:proofErr w:type="spellEnd"/>
      <w:r w:rsidRPr="004569AF">
        <w:rPr>
          <w:color w:val="000000" w:themeColor="text1"/>
          <w:sz w:val="24"/>
          <w:szCs w:val="24"/>
        </w:rPr>
        <w:t xml:space="preserve"> dokument, ktorý sa WS službami spracuje zároveň v systéme elektronickej registratúry IIS MIS. Vygenerovaný dokument sa uloží k založenému registratúrnemu záznamu v IS MIS. V</w:t>
      </w:r>
      <w:r w:rsidR="0030766A">
        <w:rPr>
          <w:color w:val="000000" w:themeColor="text1"/>
          <w:sz w:val="24"/>
          <w:szCs w:val="24"/>
        </w:rPr>
        <w:t> </w:t>
      </w:r>
      <w:r w:rsidRPr="004569AF">
        <w:rPr>
          <w:color w:val="000000" w:themeColor="text1"/>
          <w:sz w:val="24"/>
          <w:szCs w:val="24"/>
        </w:rPr>
        <w:t>IS</w:t>
      </w:r>
      <w:r w:rsidR="0030766A">
        <w:rPr>
          <w:color w:val="000000" w:themeColor="text1"/>
          <w:sz w:val="24"/>
          <w:szCs w:val="24"/>
        </w:rPr>
        <w:t> </w:t>
      </w:r>
      <w:r w:rsidRPr="004569AF">
        <w:rPr>
          <w:color w:val="000000" w:themeColor="text1"/>
          <w:sz w:val="24"/>
          <w:szCs w:val="24"/>
        </w:rPr>
        <w:t>CDT</w:t>
      </w:r>
      <w:r w:rsidR="0030766A">
        <w:rPr>
          <w:color w:val="000000" w:themeColor="text1"/>
          <w:sz w:val="24"/>
          <w:szCs w:val="24"/>
        </w:rPr>
        <w:t>2</w:t>
      </w:r>
      <w:r w:rsidRPr="004569AF">
        <w:rPr>
          <w:color w:val="000000" w:themeColor="text1"/>
          <w:sz w:val="24"/>
          <w:szCs w:val="24"/>
        </w:rPr>
        <w:t xml:space="preserve"> sa uloží k exekučnému konaniu informácia o podaní námietok.</w:t>
      </w:r>
    </w:p>
    <w:p w14:paraId="19E7C82D" w14:textId="77777777" w:rsidR="003861FD" w:rsidRPr="004569AF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b/>
          <w:bCs/>
          <w:sz w:val="24"/>
          <w:szCs w:val="24"/>
          <w:u w:val="single"/>
        </w:rPr>
      </w:pPr>
      <w:r w:rsidRPr="004569AF">
        <w:rPr>
          <w:color w:val="000000" w:themeColor="text1"/>
          <w:sz w:val="24"/>
          <w:szCs w:val="24"/>
        </w:rPr>
        <w:t xml:space="preserve">Spracovanie </w:t>
      </w:r>
      <w:proofErr w:type="spellStart"/>
      <w:r w:rsidRPr="004569AF">
        <w:rPr>
          <w:color w:val="000000" w:themeColor="text1"/>
          <w:sz w:val="24"/>
          <w:szCs w:val="24"/>
        </w:rPr>
        <w:t>repodajov</w:t>
      </w:r>
      <w:proofErr w:type="spellEnd"/>
      <w:r w:rsidRPr="004569AF">
        <w:rPr>
          <w:color w:val="000000" w:themeColor="text1"/>
          <w:sz w:val="24"/>
          <w:szCs w:val="24"/>
        </w:rPr>
        <w:t xml:space="preserve"> exekúcie, príprava vstupných dát pre formulár podania návrhu na vykonanie exekúcie, vytvorenie prepojenia na registratúru IS MIS. Pripraviť možnosť individuálneho aj hromadného podávania návrhov na exekúciu. Pripraviť export dát v štruktúre potrebnej pre vyplnenie formulára na podanie návrhu na vykonanie exekúcie (</w:t>
      </w:r>
      <w:proofErr w:type="spellStart"/>
      <w:r w:rsidRPr="004569AF">
        <w:rPr>
          <w:color w:val="000000" w:themeColor="text1"/>
          <w:sz w:val="24"/>
          <w:szCs w:val="24"/>
        </w:rPr>
        <w:t>repodaj</w:t>
      </w:r>
      <w:proofErr w:type="spellEnd"/>
      <w:r w:rsidRPr="004569AF">
        <w:rPr>
          <w:color w:val="000000" w:themeColor="text1"/>
          <w:sz w:val="24"/>
          <w:szCs w:val="24"/>
        </w:rPr>
        <w:t>). Pred podaním návrhu na vykonanie exekúcie vykonať kontrolu exportovaných údajov. Zapracovať automatické uzatváranie starých exekúcií a otváranie nový exekúcií s uvedením čísla konania starej exekúcie pri pohľadávke.</w:t>
      </w:r>
    </w:p>
    <w:p w14:paraId="6BF722BD" w14:textId="77777777" w:rsidR="003861FD" w:rsidRPr="004569AF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color w:val="000000" w:themeColor="text1"/>
          <w:sz w:val="24"/>
          <w:szCs w:val="24"/>
        </w:rPr>
      </w:pPr>
      <w:r w:rsidRPr="004569AF">
        <w:rPr>
          <w:color w:val="000000" w:themeColor="text1"/>
          <w:sz w:val="24"/>
          <w:szCs w:val="24"/>
        </w:rPr>
        <w:t xml:space="preserve">Proces Hromadných odpisov pohľadávok, ktoré vyplynú z vyhodnotenia procesu zastavenia starej exekúcie. Pohľadávky priradené k exekučnému konaniu, ktoré nepôjdu na </w:t>
      </w:r>
      <w:proofErr w:type="spellStart"/>
      <w:r w:rsidRPr="004569AF">
        <w:rPr>
          <w:color w:val="000000" w:themeColor="text1"/>
          <w:sz w:val="24"/>
          <w:szCs w:val="24"/>
        </w:rPr>
        <w:t>repodaj</w:t>
      </w:r>
      <w:proofErr w:type="spellEnd"/>
      <w:r w:rsidRPr="004569AF">
        <w:rPr>
          <w:color w:val="000000" w:themeColor="text1"/>
          <w:sz w:val="24"/>
          <w:szCs w:val="24"/>
        </w:rPr>
        <w:t>, sa zaradia do Hromadného odpisu s jedným typom dôvodu odpisu ako daňovo uznaný odpis. Do  odpisu sa pripojení dokument (uznesenie o zastavení starej exekúcie). Zapracovať kontroly na správnosť zaradenia pohľadávok do Hromadného odpisu.</w:t>
      </w:r>
    </w:p>
    <w:p w14:paraId="02FC95F0" w14:textId="77777777" w:rsidR="003861FD" w:rsidRPr="004569AF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sz w:val="24"/>
          <w:szCs w:val="24"/>
        </w:rPr>
      </w:pPr>
      <w:r w:rsidRPr="004569AF">
        <w:rPr>
          <w:sz w:val="24"/>
          <w:szCs w:val="24"/>
        </w:rPr>
        <w:t>Vytvorenie schvaľovacej sekcie exekučných konaní pre úhradu faktúry na zaplatenie paušálnej odmeny exekútorovi. Proces schvaľovania umožní schválenie jednotlivo alebo hromadné potvrdenie ponúkaného zoznamu.</w:t>
      </w:r>
    </w:p>
    <w:p w14:paraId="2F10D39B" w14:textId="77777777" w:rsidR="003861FD" w:rsidRPr="004569AF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sz w:val="24"/>
          <w:szCs w:val="24"/>
        </w:rPr>
      </w:pPr>
      <w:r w:rsidRPr="004569AF">
        <w:rPr>
          <w:sz w:val="24"/>
          <w:szCs w:val="24"/>
        </w:rPr>
        <w:t>Spracovať analýzu na optimalizáciu súčasných funkcionalít IS CDT</w:t>
      </w:r>
      <w:r w:rsidR="0030766A">
        <w:rPr>
          <w:sz w:val="24"/>
          <w:szCs w:val="24"/>
        </w:rPr>
        <w:t>2</w:t>
      </w:r>
      <w:r w:rsidRPr="004569AF">
        <w:rPr>
          <w:sz w:val="24"/>
          <w:szCs w:val="24"/>
        </w:rPr>
        <w:t>. Prehodnotiť formy zobrazovania jednotlivých sekcií, upraviť triedenia záznamov pre zobrazenie v sekciách. Pri nahrávaní nových záznamov vypĺňať automatikou čo najviac údajov, ktoré sa dajú dotiahnuť na základe vzájomných väzieb údajov.</w:t>
      </w:r>
    </w:p>
    <w:p w14:paraId="3392BCB9" w14:textId="77777777" w:rsidR="003861FD" w:rsidRPr="004569AF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b/>
          <w:bCs/>
          <w:sz w:val="24"/>
          <w:szCs w:val="24"/>
          <w:u w:val="single"/>
        </w:rPr>
      </w:pPr>
      <w:r w:rsidRPr="004569AF">
        <w:rPr>
          <w:sz w:val="24"/>
          <w:szCs w:val="24"/>
        </w:rPr>
        <w:t>Upraviť Úvodnú stránku IS CDT</w:t>
      </w:r>
      <w:r w:rsidR="0030766A">
        <w:rPr>
          <w:sz w:val="24"/>
          <w:szCs w:val="24"/>
        </w:rPr>
        <w:t>2</w:t>
      </w:r>
      <w:r w:rsidRPr="004569AF">
        <w:rPr>
          <w:sz w:val="24"/>
          <w:szCs w:val="24"/>
        </w:rPr>
        <w:t>, kde sa budú v novovytvorenom okne zobrazovať prichádzajúce Upovedomenia o zastavení starej exekúcie s </w:t>
      </w:r>
      <w:proofErr w:type="spellStart"/>
      <w:r w:rsidRPr="004569AF">
        <w:rPr>
          <w:sz w:val="24"/>
          <w:szCs w:val="24"/>
        </w:rPr>
        <w:t>preklikom</w:t>
      </w:r>
      <w:proofErr w:type="spellEnd"/>
      <w:r w:rsidRPr="004569AF">
        <w:rPr>
          <w:sz w:val="24"/>
          <w:szCs w:val="24"/>
        </w:rPr>
        <w:t xml:space="preserve"> do príslušnej kontrolnej zostavy, okno s exekúciami na námietky s uvedením lehoty s </w:t>
      </w:r>
      <w:proofErr w:type="spellStart"/>
      <w:r w:rsidRPr="004569AF">
        <w:rPr>
          <w:sz w:val="24"/>
          <w:szCs w:val="24"/>
        </w:rPr>
        <w:t>preklikom</w:t>
      </w:r>
      <w:proofErr w:type="spellEnd"/>
      <w:r w:rsidRPr="004569AF">
        <w:rPr>
          <w:sz w:val="24"/>
          <w:szCs w:val="24"/>
        </w:rPr>
        <w:t xml:space="preserve"> (farebne odlíšiť automatickú zmenu stavu), dve okná s </w:t>
      </w:r>
      <w:proofErr w:type="spellStart"/>
      <w:r w:rsidRPr="004569AF">
        <w:rPr>
          <w:sz w:val="24"/>
          <w:szCs w:val="24"/>
        </w:rPr>
        <w:t>Repodajmi</w:t>
      </w:r>
      <w:proofErr w:type="spellEnd"/>
      <w:r w:rsidRPr="004569AF">
        <w:rPr>
          <w:sz w:val="24"/>
          <w:szCs w:val="24"/>
        </w:rPr>
        <w:t xml:space="preserve"> podľa lehoty (30 dní a 1 rok) s </w:t>
      </w:r>
      <w:proofErr w:type="spellStart"/>
      <w:r w:rsidRPr="004569AF">
        <w:rPr>
          <w:sz w:val="24"/>
          <w:szCs w:val="24"/>
        </w:rPr>
        <w:t>preklikom</w:t>
      </w:r>
      <w:proofErr w:type="spellEnd"/>
      <w:r w:rsidRPr="004569AF">
        <w:rPr>
          <w:sz w:val="24"/>
          <w:szCs w:val="24"/>
        </w:rPr>
        <w:t xml:space="preserve"> (farebne odlíšiť akútne prípady – 3 dni do lehoty).</w:t>
      </w:r>
    </w:p>
    <w:p w14:paraId="1F5EE6C4" w14:textId="77777777" w:rsidR="003861FD" w:rsidRPr="004569AF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b/>
          <w:bCs/>
          <w:sz w:val="24"/>
          <w:szCs w:val="24"/>
          <w:u w:val="single"/>
        </w:rPr>
      </w:pPr>
      <w:r w:rsidRPr="004569AF">
        <w:rPr>
          <w:sz w:val="24"/>
          <w:szCs w:val="24"/>
        </w:rPr>
        <w:lastRenderedPageBreak/>
        <w:t>Vytvoriť importné procedúry na vypĺňanie dát k exekúciám dodaných od exekútorov prípadne  dodaných iným subjektom.</w:t>
      </w:r>
    </w:p>
    <w:p w14:paraId="16C7B3B7" w14:textId="77777777" w:rsidR="003861FD" w:rsidRPr="004569AF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sz w:val="24"/>
          <w:szCs w:val="24"/>
        </w:rPr>
      </w:pPr>
      <w:r w:rsidRPr="004569AF">
        <w:rPr>
          <w:sz w:val="24"/>
          <w:szCs w:val="24"/>
        </w:rPr>
        <w:t>Zapracovať nový spôsob vykonávania zmeny dlžníka. Nový spôsob si vyžiada úpravu existujúceho riešenia. Podľa nového návrhu by sa menilo len ID_SUBJ na pohľadávkach a na vymáhaniach.</w:t>
      </w:r>
    </w:p>
    <w:p w14:paraId="0646240A" w14:textId="77777777" w:rsidR="003861FD" w:rsidRPr="004569AF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b/>
          <w:bCs/>
          <w:sz w:val="24"/>
          <w:szCs w:val="24"/>
          <w:u w:val="single"/>
        </w:rPr>
      </w:pPr>
      <w:r w:rsidRPr="004569AF">
        <w:rPr>
          <w:sz w:val="24"/>
          <w:szCs w:val="24"/>
        </w:rPr>
        <w:t>Integrácia S</w:t>
      </w:r>
      <w:r w:rsidR="0030766A">
        <w:rPr>
          <w:sz w:val="24"/>
          <w:szCs w:val="24"/>
        </w:rPr>
        <w:t>K,</w:t>
      </w:r>
      <w:r w:rsidRPr="004569AF">
        <w:rPr>
          <w:sz w:val="24"/>
          <w:szCs w:val="24"/>
        </w:rPr>
        <w:t xml:space="preserve"> a.s. na kataster nehnuteľností (vrátane vypracovania integračného zámeru), import získaných informácií o nehnuteľnostiach k subjektom v</w:t>
      </w:r>
      <w:r w:rsidR="0030766A">
        <w:rPr>
          <w:sz w:val="24"/>
          <w:szCs w:val="24"/>
        </w:rPr>
        <w:t> </w:t>
      </w:r>
      <w:r w:rsidRPr="004569AF">
        <w:rPr>
          <w:sz w:val="24"/>
          <w:szCs w:val="24"/>
        </w:rPr>
        <w:t>IS</w:t>
      </w:r>
      <w:r w:rsidR="0030766A">
        <w:rPr>
          <w:sz w:val="24"/>
          <w:szCs w:val="24"/>
        </w:rPr>
        <w:t> </w:t>
      </w:r>
      <w:r w:rsidRPr="004569AF">
        <w:rPr>
          <w:sz w:val="24"/>
          <w:szCs w:val="24"/>
        </w:rPr>
        <w:t>CDT</w:t>
      </w:r>
      <w:r w:rsidR="0030766A">
        <w:rPr>
          <w:sz w:val="24"/>
          <w:szCs w:val="24"/>
        </w:rPr>
        <w:t>2</w:t>
      </w:r>
      <w:r w:rsidRPr="004569AF">
        <w:rPr>
          <w:sz w:val="24"/>
          <w:szCs w:val="24"/>
        </w:rPr>
        <w:t xml:space="preserve"> v rozsahu číslo listu vlastníctva, kraj, okres, druh nehnuteľnosti, spoluvlastnícky podiel, výmera pri pozemkoch s možnosťou </w:t>
      </w:r>
      <w:proofErr w:type="spellStart"/>
      <w:r w:rsidRPr="004569AF">
        <w:rPr>
          <w:sz w:val="24"/>
          <w:szCs w:val="24"/>
        </w:rPr>
        <w:t>prekliku</w:t>
      </w:r>
      <w:proofErr w:type="spellEnd"/>
      <w:r w:rsidRPr="004569AF">
        <w:rPr>
          <w:sz w:val="24"/>
          <w:szCs w:val="24"/>
        </w:rPr>
        <w:t xml:space="preserve"> na kataster portál pre podrobné zobrazenie listu vlastníctva.</w:t>
      </w:r>
    </w:p>
    <w:p w14:paraId="4BE13BB8" w14:textId="77777777" w:rsidR="003861FD" w:rsidRDefault="003861FD" w:rsidP="003861FD">
      <w:pPr>
        <w:pStyle w:val="Odsekzoznamu"/>
        <w:numPr>
          <w:ilvl w:val="1"/>
          <w:numId w:val="29"/>
        </w:numPr>
        <w:suppressAutoHyphens/>
        <w:autoSpaceDN w:val="0"/>
        <w:spacing w:after="0" w:line="240" w:lineRule="auto"/>
        <w:ind w:left="993" w:hanging="567"/>
        <w:jc w:val="both"/>
        <w:textAlignment w:val="baseline"/>
        <w:rPr>
          <w:sz w:val="24"/>
          <w:szCs w:val="24"/>
        </w:rPr>
      </w:pPr>
      <w:r w:rsidRPr="004569AF">
        <w:rPr>
          <w:sz w:val="24"/>
          <w:szCs w:val="24"/>
        </w:rPr>
        <w:t>Vytvorenie rezervy v hodnote 5</w:t>
      </w:r>
      <w:r>
        <w:rPr>
          <w:sz w:val="24"/>
          <w:szCs w:val="24"/>
        </w:rPr>
        <w:t> </w:t>
      </w:r>
      <w:r w:rsidRPr="004569AF">
        <w:rPr>
          <w:sz w:val="24"/>
          <w:szCs w:val="24"/>
        </w:rPr>
        <w:t>% z navrhovanej sumy bez DPH na spracovanie  nových funkcionalít v existujúcom informačnom systéme, ktoré vyplynú počas procesu zastavovania starých exekúcií.</w:t>
      </w:r>
    </w:p>
    <w:p w14:paraId="1ABCE281" w14:textId="77777777" w:rsidR="00B32AD6" w:rsidRPr="0063639B" w:rsidRDefault="00B32AD6" w:rsidP="00E84B9A">
      <w:pPr>
        <w:pStyle w:val="Odsekzoznamu"/>
        <w:spacing w:after="0" w:line="240" w:lineRule="auto"/>
        <w:contextualSpacing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5B4A2E7A" w14:textId="77777777" w:rsidR="004973B4" w:rsidRPr="0063639B" w:rsidRDefault="004973B4" w:rsidP="004973B4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Zmluvné podmienky:</w:t>
      </w:r>
    </w:p>
    <w:p w14:paraId="47E5E054" w14:textId="14363F01" w:rsidR="004973B4" w:rsidRPr="0063639B" w:rsidRDefault="004973B4" w:rsidP="004973B4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 w:rsidRPr="0063639B">
        <w:rPr>
          <w:rFonts w:asciiTheme="minorHAnsi" w:hAnsiTheme="minorHAnsi"/>
          <w:sz w:val="24"/>
          <w:szCs w:val="24"/>
        </w:rPr>
        <w:t>Po vyhodnotení ponúk uchádzačov bude </w:t>
      </w:r>
      <w:r w:rsidR="00DF5379">
        <w:rPr>
          <w:rFonts w:asciiTheme="minorHAnsi" w:hAnsiTheme="minorHAnsi"/>
          <w:sz w:val="24"/>
          <w:szCs w:val="24"/>
        </w:rPr>
        <w:t xml:space="preserve">s </w:t>
      </w:r>
      <w:r w:rsidRPr="0063639B">
        <w:rPr>
          <w:rFonts w:asciiTheme="minorHAnsi" w:hAnsiTheme="minorHAnsi"/>
          <w:sz w:val="24"/>
          <w:szCs w:val="24"/>
        </w:rPr>
        <w:t>úspešným uchádzačom uzatvorená Zmluva o</w:t>
      </w:r>
      <w:r>
        <w:rPr>
          <w:rFonts w:asciiTheme="minorHAnsi" w:hAnsiTheme="minorHAnsi"/>
          <w:sz w:val="24"/>
          <w:szCs w:val="24"/>
        </w:rPr>
        <w:t> poskytovaní služieb</w:t>
      </w:r>
      <w:r w:rsidRPr="0063639B">
        <w:rPr>
          <w:rFonts w:asciiTheme="minorHAnsi" w:hAnsiTheme="minorHAnsi"/>
          <w:sz w:val="24"/>
          <w:szCs w:val="24"/>
        </w:rPr>
        <w:t>, ktor</w:t>
      </w:r>
      <w:r w:rsidR="00DF5379">
        <w:rPr>
          <w:rFonts w:asciiTheme="minorHAnsi" w:hAnsiTheme="minorHAnsi"/>
          <w:sz w:val="24"/>
          <w:szCs w:val="24"/>
        </w:rPr>
        <w:t xml:space="preserve">ej </w:t>
      </w:r>
      <w:r w:rsidR="00005D54">
        <w:rPr>
          <w:rFonts w:asciiTheme="minorHAnsi" w:hAnsiTheme="minorHAnsi"/>
          <w:sz w:val="24"/>
          <w:szCs w:val="24"/>
        </w:rPr>
        <w:t xml:space="preserve">záväzný </w:t>
      </w:r>
      <w:r w:rsidR="00DF5379">
        <w:rPr>
          <w:rFonts w:asciiTheme="minorHAnsi" w:hAnsiTheme="minorHAnsi"/>
          <w:sz w:val="24"/>
          <w:szCs w:val="24"/>
        </w:rPr>
        <w:t xml:space="preserve">návrh </w:t>
      </w:r>
      <w:r w:rsidRPr="0063639B">
        <w:rPr>
          <w:rFonts w:asciiTheme="minorHAnsi" w:hAnsiTheme="minorHAnsi"/>
          <w:sz w:val="24"/>
          <w:szCs w:val="24"/>
        </w:rPr>
        <w:t>uveden</w:t>
      </w:r>
      <w:r w:rsidR="00DF5379">
        <w:rPr>
          <w:rFonts w:asciiTheme="minorHAnsi" w:hAnsiTheme="minorHAnsi"/>
          <w:sz w:val="24"/>
          <w:szCs w:val="24"/>
        </w:rPr>
        <w:t>ý</w:t>
      </w:r>
      <w:r w:rsidRPr="0063639B">
        <w:rPr>
          <w:rFonts w:asciiTheme="minorHAnsi" w:hAnsiTheme="minorHAnsi"/>
          <w:sz w:val="24"/>
          <w:szCs w:val="24"/>
        </w:rPr>
        <w:t xml:space="preserve"> v </w:t>
      </w:r>
      <w:r w:rsidRPr="0063639B">
        <w:rPr>
          <w:rFonts w:asciiTheme="minorHAnsi" w:hAnsiTheme="minorHAnsi"/>
          <w:b/>
          <w:sz w:val="24"/>
          <w:szCs w:val="24"/>
        </w:rPr>
        <w:t>Prílohe č. 2</w:t>
      </w:r>
      <w:r w:rsidRPr="0063639B">
        <w:rPr>
          <w:rFonts w:asciiTheme="minorHAnsi" w:hAnsiTheme="minorHAnsi"/>
          <w:sz w:val="24"/>
          <w:szCs w:val="24"/>
        </w:rPr>
        <w:t xml:space="preserve"> tejto Výzvy. Nakoľko úspešný uchádzač bude prichádzať do styku s osobnými údajmi, verejný obstarávateľ vyžaduje aj uzatvorenie Zmluvy </w:t>
      </w:r>
      <w:r w:rsidR="0030766A" w:rsidRPr="004973B4">
        <w:rPr>
          <w:rFonts w:asciiTheme="minorHAnsi" w:hAnsiTheme="minorHAnsi"/>
          <w:color w:val="000000"/>
          <w:sz w:val="24"/>
          <w:szCs w:val="24"/>
          <w:lang w:eastAsia="sk-SK"/>
        </w:rPr>
        <w:t>o spracúvaní osobných údajov</w:t>
      </w:r>
      <w:r w:rsidRPr="0063639B">
        <w:rPr>
          <w:rFonts w:asciiTheme="minorHAnsi" w:hAnsiTheme="minorHAnsi"/>
          <w:sz w:val="24"/>
          <w:szCs w:val="24"/>
        </w:rPr>
        <w:t>, ktor</w:t>
      </w:r>
      <w:r w:rsidR="00DF5379">
        <w:rPr>
          <w:rFonts w:asciiTheme="minorHAnsi" w:hAnsiTheme="minorHAnsi"/>
          <w:sz w:val="24"/>
          <w:szCs w:val="24"/>
        </w:rPr>
        <w:t xml:space="preserve">ej </w:t>
      </w:r>
      <w:r w:rsidR="00005D54">
        <w:rPr>
          <w:rFonts w:asciiTheme="minorHAnsi" w:hAnsiTheme="minorHAnsi"/>
          <w:sz w:val="24"/>
          <w:szCs w:val="24"/>
        </w:rPr>
        <w:t xml:space="preserve">záväzný </w:t>
      </w:r>
      <w:r w:rsidR="00DF5379">
        <w:rPr>
          <w:rFonts w:asciiTheme="minorHAnsi" w:hAnsiTheme="minorHAnsi"/>
          <w:sz w:val="24"/>
          <w:szCs w:val="24"/>
        </w:rPr>
        <w:t xml:space="preserve">návrh </w:t>
      </w:r>
      <w:r w:rsidRPr="0063639B">
        <w:rPr>
          <w:rFonts w:asciiTheme="minorHAnsi" w:hAnsiTheme="minorHAnsi"/>
          <w:sz w:val="24"/>
          <w:szCs w:val="24"/>
        </w:rPr>
        <w:t xml:space="preserve">je </w:t>
      </w:r>
      <w:r w:rsidR="00DF5379">
        <w:rPr>
          <w:rFonts w:asciiTheme="minorHAnsi" w:hAnsiTheme="minorHAnsi"/>
          <w:sz w:val="24"/>
          <w:szCs w:val="24"/>
        </w:rPr>
        <w:t xml:space="preserve">spolu s jej prílohami č. 1 až 4 </w:t>
      </w:r>
      <w:r w:rsidRPr="0063639B">
        <w:rPr>
          <w:rFonts w:asciiTheme="minorHAnsi" w:hAnsiTheme="minorHAnsi"/>
          <w:sz w:val="24"/>
          <w:szCs w:val="24"/>
        </w:rPr>
        <w:t>uveden</w:t>
      </w:r>
      <w:r w:rsidR="00DF5379">
        <w:rPr>
          <w:rFonts w:asciiTheme="minorHAnsi" w:hAnsiTheme="minorHAnsi"/>
          <w:sz w:val="24"/>
          <w:szCs w:val="24"/>
        </w:rPr>
        <w:t xml:space="preserve">ý </w:t>
      </w:r>
      <w:r w:rsidRPr="0063639B">
        <w:rPr>
          <w:rFonts w:asciiTheme="minorHAnsi" w:hAnsiTheme="minorHAnsi"/>
          <w:sz w:val="24"/>
          <w:szCs w:val="24"/>
        </w:rPr>
        <w:t>v </w:t>
      </w:r>
      <w:r w:rsidRPr="0063639B">
        <w:rPr>
          <w:rFonts w:asciiTheme="minorHAnsi" w:hAnsiTheme="minorHAnsi"/>
          <w:b/>
          <w:sz w:val="24"/>
          <w:szCs w:val="24"/>
        </w:rPr>
        <w:t>Prílohe č. 3</w:t>
      </w:r>
      <w:r w:rsidRPr="0063639B">
        <w:rPr>
          <w:rFonts w:asciiTheme="minorHAnsi" w:hAnsiTheme="minorHAnsi"/>
          <w:sz w:val="24"/>
          <w:szCs w:val="24"/>
        </w:rPr>
        <w:t xml:space="preserve"> tejto Výzvy</w:t>
      </w:r>
      <w:r w:rsidR="00DF5379">
        <w:rPr>
          <w:rFonts w:asciiTheme="minorHAnsi" w:hAnsiTheme="minorHAnsi"/>
          <w:sz w:val="24"/>
          <w:szCs w:val="24"/>
        </w:rPr>
        <w:t>.</w:t>
      </w:r>
      <w:r w:rsidR="00005D54">
        <w:rPr>
          <w:rFonts w:asciiTheme="minorHAnsi" w:hAnsiTheme="minorHAnsi"/>
          <w:sz w:val="24"/>
          <w:szCs w:val="24"/>
        </w:rPr>
        <w:t xml:space="preserve"> </w:t>
      </w:r>
      <w:r w:rsidR="004F51FC">
        <w:rPr>
          <w:rFonts w:asciiTheme="minorHAnsi" w:hAnsiTheme="minorHAnsi"/>
          <w:sz w:val="24"/>
          <w:szCs w:val="24"/>
        </w:rPr>
        <w:t xml:space="preserve">Návrh </w:t>
      </w:r>
      <w:r w:rsidR="00005D54">
        <w:rPr>
          <w:rFonts w:asciiTheme="minorHAnsi" w:hAnsiTheme="minorHAnsi"/>
          <w:sz w:val="24"/>
          <w:szCs w:val="24"/>
        </w:rPr>
        <w:t>Príloh</w:t>
      </w:r>
      <w:r w:rsidR="004F51FC">
        <w:rPr>
          <w:rFonts w:asciiTheme="minorHAnsi" w:hAnsiTheme="minorHAnsi"/>
          <w:sz w:val="24"/>
          <w:szCs w:val="24"/>
        </w:rPr>
        <w:t>y</w:t>
      </w:r>
      <w:r w:rsidR="00005D54">
        <w:rPr>
          <w:rFonts w:asciiTheme="minorHAnsi" w:hAnsiTheme="minorHAnsi"/>
          <w:sz w:val="24"/>
          <w:szCs w:val="24"/>
        </w:rPr>
        <w:t xml:space="preserve"> č. 3 návrhu Zmluvy o spracúvaní osobných údajov </w:t>
      </w:r>
      <w:r w:rsidR="00005D54" w:rsidRPr="0026251E">
        <w:rPr>
          <w:rFonts w:asciiTheme="minorHAnsi" w:hAnsiTheme="minorHAnsi"/>
          <w:b/>
          <w:bCs/>
          <w:sz w:val="24"/>
          <w:szCs w:val="24"/>
          <w:u w:val="single"/>
        </w:rPr>
        <w:t>je uchádzač povinný vyplniť, vypracovať a predložiť</w:t>
      </w:r>
      <w:r w:rsidR="00005D54">
        <w:rPr>
          <w:rFonts w:asciiTheme="minorHAnsi" w:hAnsiTheme="minorHAnsi"/>
          <w:sz w:val="24"/>
          <w:szCs w:val="24"/>
        </w:rPr>
        <w:t xml:space="preserve"> podľa bodu 5. písm. c) tejto Výzvy. Uchádzačom vypracovan</w:t>
      </w:r>
      <w:r w:rsidR="004F51FC">
        <w:rPr>
          <w:rFonts w:asciiTheme="minorHAnsi" w:hAnsiTheme="minorHAnsi"/>
          <w:sz w:val="24"/>
          <w:szCs w:val="24"/>
        </w:rPr>
        <w:t>ý</w:t>
      </w:r>
      <w:r w:rsidR="00005D54">
        <w:rPr>
          <w:rFonts w:asciiTheme="minorHAnsi" w:hAnsiTheme="minorHAnsi"/>
          <w:sz w:val="24"/>
          <w:szCs w:val="24"/>
        </w:rPr>
        <w:t xml:space="preserve"> a predložen</w:t>
      </w:r>
      <w:r w:rsidR="004F51FC">
        <w:rPr>
          <w:rFonts w:asciiTheme="minorHAnsi" w:hAnsiTheme="minorHAnsi"/>
          <w:sz w:val="24"/>
          <w:szCs w:val="24"/>
        </w:rPr>
        <w:t>ý</w:t>
      </w:r>
      <w:r w:rsidR="00005D54">
        <w:rPr>
          <w:rFonts w:asciiTheme="minorHAnsi" w:hAnsiTheme="minorHAnsi"/>
          <w:sz w:val="24"/>
          <w:szCs w:val="24"/>
        </w:rPr>
        <w:t xml:space="preserve"> </w:t>
      </w:r>
      <w:r w:rsidR="004F51FC">
        <w:rPr>
          <w:rFonts w:asciiTheme="minorHAnsi" w:hAnsiTheme="minorHAnsi"/>
          <w:sz w:val="24"/>
          <w:szCs w:val="24"/>
        </w:rPr>
        <w:t xml:space="preserve">návrh </w:t>
      </w:r>
      <w:r w:rsidR="00005D54">
        <w:rPr>
          <w:rFonts w:asciiTheme="minorHAnsi" w:hAnsiTheme="minorHAnsi"/>
          <w:sz w:val="24"/>
          <w:szCs w:val="24"/>
        </w:rPr>
        <w:t>Príloh</w:t>
      </w:r>
      <w:r w:rsidR="004F51FC">
        <w:rPr>
          <w:rFonts w:asciiTheme="minorHAnsi" w:hAnsiTheme="minorHAnsi"/>
          <w:sz w:val="24"/>
          <w:szCs w:val="24"/>
        </w:rPr>
        <w:t>y</w:t>
      </w:r>
      <w:r w:rsidR="00005D54">
        <w:rPr>
          <w:rFonts w:asciiTheme="minorHAnsi" w:hAnsiTheme="minorHAnsi"/>
          <w:sz w:val="24"/>
          <w:szCs w:val="24"/>
        </w:rPr>
        <w:t xml:space="preserve"> č. 3 návrhu Zmluvy o spracúvaní osobných údajov bude predstavovať minimálny rozsah </w:t>
      </w:r>
      <w:r w:rsidR="00005D54" w:rsidRPr="00005D54">
        <w:rPr>
          <w:rFonts w:asciiTheme="minorHAnsi" w:hAnsiTheme="minorHAnsi"/>
          <w:sz w:val="24"/>
          <w:szCs w:val="24"/>
        </w:rPr>
        <w:t>bezpečnostn</w:t>
      </w:r>
      <w:r w:rsidR="00005D54">
        <w:rPr>
          <w:rFonts w:asciiTheme="minorHAnsi" w:hAnsiTheme="minorHAnsi"/>
          <w:sz w:val="24"/>
          <w:szCs w:val="24"/>
        </w:rPr>
        <w:t>ých</w:t>
      </w:r>
      <w:r w:rsidR="00005D54" w:rsidRPr="00005D54">
        <w:rPr>
          <w:rFonts w:asciiTheme="minorHAnsi" w:hAnsiTheme="minorHAnsi"/>
          <w:sz w:val="24"/>
          <w:szCs w:val="24"/>
        </w:rPr>
        <w:t>, technick</w:t>
      </w:r>
      <w:r w:rsidR="00005D54">
        <w:rPr>
          <w:rFonts w:asciiTheme="minorHAnsi" w:hAnsiTheme="minorHAnsi"/>
          <w:sz w:val="24"/>
          <w:szCs w:val="24"/>
        </w:rPr>
        <w:t>ých</w:t>
      </w:r>
      <w:r w:rsidR="00005D54" w:rsidRPr="00005D54">
        <w:rPr>
          <w:rFonts w:asciiTheme="minorHAnsi" w:hAnsiTheme="minorHAnsi"/>
          <w:sz w:val="24"/>
          <w:szCs w:val="24"/>
        </w:rPr>
        <w:t xml:space="preserve"> a</w:t>
      </w:r>
      <w:r w:rsidR="00005D54">
        <w:rPr>
          <w:rFonts w:asciiTheme="minorHAnsi" w:hAnsiTheme="minorHAnsi"/>
          <w:sz w:val="24"/>
          <w:szCs w:val="24"/>
        </w:rPr>
        <w:t> </w:t>
      </w:r>
      <w:r w:rsidR="00005D54" w:rsidRPr="00005D54">
        <w:rPr>
          <w:rFonts w:asciiTheme="minorHAnsi" w:hAnsiTheme="minorHAnsi"/>
          <w:sz w:val="24"/>
          <w:szCs w:val="24"/>
        </w:rPr>
        <w:t>organizačn</w:t>
      </w:r>
      <w:r w:rsidR="00005D54">
        <w:rPr>
          <w:rFonts w:asciiTheme="minorHAnsi" w:hAnsiTheme="minorHAnsi"/>
          <w:sz w:val="24"/>
          <w:szCs w:val="24"/>
        </w:rPr>
        <w:t xml:space="preserve">ých </w:t>
      </w:r>
      <w:r w:rsidR="00005D54" w:rsidRPr="00005D54">
        <w:rPr>
          <w:rFonts w:asciiTheme="minorHAnsi" w:hAnsiTheme="minorHAnsi"/>
          <w:sz w:val="24"/>
          <w:szCs w:val="24"/>
        </w:rPr>
        <w:t>opatren</w:t>
      </w:r>
      <w:r w:rsidR="00005D54">
        <w:rPr>
          <w:rFonts w:asciiTheme="minorHAnsi" w:hAnsiTheme="minorHAnsi"/>
          <w:sz w:val="24"/>
          <w:szCs w:val="24"/>
        </w:rPr>
        <w:t>í</w:t>
      </w:r>
      <w:r w:rsidR="00005D54" w:rsidRPr="00005D54">
        <w:rPr>
          <w:rFonts w:asciiTheme="minorHAnsi" w:hAnsiTheme="minorHAnsi"/>
          <w:sz w:val="24"/>
          <w:szCs w:val="24"/>
        </w:rPr>
        <w:t xml:space="preserve">, ktoré </w:t>
      </w:r>
      <w:r w:rsidR="00005D54">
        <w:rPr>
          <w:rFonts w:asciiTheme="minorHAnsi" w:hAnsiTheme="minorHAnsi"/>
          <w:sz w:val="24"/>
          <w:szCs w:val="24"/>
        </w:rPr>
        <w:t xml:space="preserve">sa uchádzač zaväzuje prijať a dodržiavať počas spracúvania osobných údajov v prípade, ak s ním </w:t>
      </w:r>
      <w:r w:rsidR="004F51FC">
        <w:rPr>
          <w:rFonts w:asciiTheme="minorHAnsi" w:hAnsiTheme="minorHAnsi"/>
          <w:sz w:val="24"/>
          <w:szCs w:val="24"/>
        </w:rPr>
        <w:t>verejný obstarávateľ uzavrie Zmluvu o poskytovaní služieb a Zmluvu o spracúvaní osobných údajov. Text návrhu Prílohy č. 3 návrhu Zmluvy o spracúvaní osobných údajov, ktorý uchádz</w:t>
      </w:r>
      <w:r w:rsidR="007D25CE">
        <w:rPr>
          <w:rFonts w:asciiTheme="minorHAnsi" w:hAnsiTheme="minorHAnsi"/>
          <w:sz w:val="24"/>
          <w:szCs w:val="24"/>
        </w:rPr>
        <w:t xml:space="preserve">ač </w:t>
      </w:r>
      <w:proofErr w:type="spellStart"/>
      <w:r w:rsidR="007D25CE">
        <w:rPr>
          <w:rFonts w:asciiTheme="minorHAnsi" w:hAnsiTheme="minorHAnsi"/>
          <w:sz w:val="24"/>
          <w:szCs w:val="24"/>
        </w:rPr>
        <w:t>obdrží</w:t>
      </w:r>
      <w:proofErr w:type="spellEnd"/>
      <w:r w:rsidR="007D25CE">
        <w:rPr>
          <w:rFonts w:asciiTheme="minorHAnsi" w:hAnsiTheme="minorHAnsi"/>
          <w:sz w:val="24"/>
          <w:szCs w:val="24"/>
        </w:rPr>
        <w:t xml:space="preserve"> v Prílohe č. 3 tejto V</w:t>
      </w:r>
      <w:r w:rsidR="004F51FC">
        <w:rPr>
          <w:rFonts w:asciiTheme="minorHAnsi" w:hAnsiTheme="minorHAnsi"/>
          <w:sz w:val="24"/>
          <w:szCs w:val="24"/>
        </w:rPr>
        <w:t xml:space="preserve">ýzvy, nie je záväzný, predstavuje minimálne požiadavky verejného obstarávateľa, ktoré by mal úspešný uchádzač ako sprostredkovateľ spĺňať z pohľadu spracúvania osobných údajov. </w:t>
      </w:r>
    </w:p>
    <w:p w14:paraId="58DBC078" w14:textId="77777777" w:rsidR="004973B4" w:rsidRDefault="004973B4" w:rsidP="004973B4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</w:p>
    <w:p w14:paraId="0173A027" w14:textId="77777777" w:rsidR="00086F55" w:rsidRPr="0063639B" w:rsidRDefault="00464959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Cenová ponuka</w:t>
      </w:r>
    </w:p>
    <w:p w14:paraId="4BD3A281" w14:textId="0BEF7479" w:rsidR="00A635E4" w:rsidRPr="004973B4" w:rsidRDefault="002107D6" w:rsidP="00E84B9A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4973B4">
        <w:rPr>
          <w:rFonts w:asciiTheme="minorHAnsi" w:hAnsiTheme="minorHAnsi" w:cs="Times New Roman"/>
        </w:rPr>
        <w:t xml:space="preserve">V nadväznosti na uvedené si Vás dovoľujeme požiadať o predloženie cenovej ponuky </w:t>
      </w:r>
      <w:r w:rsidR="00C838E0" w:rsidRPr="004973B4">
        <w:rPr>
          <w:rFonts w:asciiTheme="minorHAnsi" w:hAnsiTheme="minorHAnsi" w:cs="Times New Roman"/>
        </w:rPr>
        <w:t xml:space="preserve">na </w:t>
      </w:r>
      <w:r w:rsidR="00A009FA" w:rsidRPr="004973B4">
        <w:rPr>
          <w:rFonts w:asciiTheme="minorHAnsi" w:hAnsiTheme="minorHAnsi" w:cs="Times New Roman"/>
          <w:color w:val="auto"/>
        </w:rPr>
        <w:t>celý pr</w:t>
      </w:r>
      <w:r w:rsidR="004975D5" w:rsidRPr="004973B4">
        <w:rPr>
          <w:rFonts w:asciiTheme="minorHAnsi" w:hAnsiTheme="minorHAnsi" w:cs="Times New Roman"/>
          <w:color w:val="auto"/>
        </w:rPr>
        <w:t>edmet zákazky opísaný v bod</w:t>
      </w:r>
      <w:r w:rsidR="00464959" w:rsidRPr="004973B4">
        <w:rPr>
          <w:rFonts w:asciiTheme="minorHAnsi" w:hAnsiTheme="minorHAnsi" w:cs="Times New Roman"/>
          <w:color w:val="auto"/>
        </w:rPr>
        <w:t>e</w:t>
      </w:r>
      <w:r w:rsidR="00C231D6" w:rsidRPr="004973B4">
        <w:rPr>
          <w:rFonts w:asciiTheme="minorHAnsi" w:hAnsiTheme="minorHAnsi" w:cs="Times New Roman"/>
          <w:color w:val="auto"/>
        </w:rPr>
        <w:t xml:space="preserve"> 3</w:t>
      </w:r>
      <w:r w:rsidR="00A009FA" w:rsidRPr="004973B4">
        <w:rPr>
          <w:rFonts w:asciiTheme="minorHAnsi" w:hAnsiTheme="minorHAnsi" w:cs="Times New Roman"/>
          <w:color w:val="auto"/>
        </w:rPr>
        <w:t>.</w:t>
      </w:r>
      <w:r w:rsidR="00A635E4" w:rsidRPr="004973B4">
        <w:rPr>
          <w:rFonts w:asciiTheme="minorHAnsi" w:hAnsiTheme="minorHAnsi" w:cs="Times New Roman"/>
          <w:color w:val="auto"/>
        </w:rPr>
        <w:t xml:space="preserve"> </w:t>
      </w:r>
      <w:r w:rsidR="00464959" w:rsidRPr="004973B4">
        <w:rPr>
          <w:rFonts w:asciiTheme="minorHAnsi" w:hAnsiTheme="minorHAnsi" w:cs="Times New Roman"/>
          <w:color w:val="auto"/>
        </w:rPr>
        <w:t>tejto Výzvy</w:t>
      </w:r>
      <w:r w:rsidR="005B4193">
        <w:rPr>
          <w:rFonts w:asciiTheme="minorHAnsi" w:hAnsiTheme="minorHAnsi" w:cs="Times New Roman"/>
          <w:color w:val="auto"/>
        </w:rPr>
        <w:t>.</w:t>
      </w:r>
    </w:p>
    <w:p w14:paraId="110DFA65" w14:textId="77777777" w:rsidR="002107D6" w:rsidRPr="004973B4" w:rsidRDefault="002107D6" w:rsidP="00E84B9A">
      <w:pPr>
        <w:pStyle w:val="Default"/>
        <w:ind w:firstLine="426"/>
        <w:jc w:val="both"/>
        <w:rPr>
          <w:rFonts w:asciiTheme="minorHAnsi" w:hAnsiTheme="minorHAnsi" w:cs="Times New Roman"/>
          <w:b/>
          <w:i/>
          <w:color w:val="auto"/>
        </w:rPr>
      </w:pPr>
      <w:r w:rsidRPr="004973B4">
        <w:rPr>
          <w:rFonts w:asciiTheme="minorHAnsi" w:hAnsiTheme="minorHAnsi" w:cs="Times New Roman"/>
          <w:b/>
          <w:i/>
          <w:color w:val="auto"/>
        </w:rPr>
        <w:t>Cenová ponuka musí obsahovať:</w:t>
      </w:r>
    </w:p>
    <w:p w14:paraId="604BB73A" w14:textId="77777777" w:rsidR="002107D6" w:rsidRPr="004973B4" w:rsidRDefault="002107D6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973B4">
        <w:rPr>
          <w:rFonts w:asciiTheme="minorHAnsi" w:hAnsiTheme="minorHAnsi"/>
          <w:sz w:val="24"/>
          <w:szCs w:val="24"/>
        </w:rPr>
        <w:t xml:space="preserve">základné identifikačné údaje uchádzača v zmysle </w:t>
      </w:r>
      <w:r w:rsidRPr="004973B4">
        <w:rPr>
          <w:rFonts w:asciiTheme="minorHAnsi" w:hAnsiTheme="minorHAnsi"/>
          <w:b/>
          <w:sz w:val="24"/>
          <w:szCs w:val="24"/>
        </w:rPr>
        <w:t>Prílohy č. 1.</w:t>
      </w:r>
      <w:r w:rsidR="00DF5379">
        <w:rPr>
          <w:rFonts w:asciiTheme="minorHAnsi" w:hAnsiTheme="minorHAnsi"/>
          <w:b/>
          <w:sz w:val="24"/>
          <w:szCs w:val="24"/>
        </w:rPr>
        <w:t xml:space="preserve"> tejto Výzvy,</w:t>
      </w:r>
    </w:p>
    <w:p w14:paraId="53C1114C" w14:textId="77777777" w:rsidR="002107D6" w:rsidRPr="004973B4" w:rsidRDefault="002107D6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4"/>
          <w:szCs w:val="24"/>
        </w:rPr>
      </w:pPr>
      <w:r w:rsidRPr="004973B4">
        <w:rPr>
          <w:rFonts w:asciiTheme="minorHAnsi" w:hAnsiTheme="minorHAnsi"/>
          <w:sz w:val="24"/>
          <w:szCs w:val="24"/>
        </w:rPr>
        <w:t xml:space="preserve">cenovú ponuku predloženú v zmysle </w:t>
      </w:r>
      <w:r w:rsidRPr="004973B4">
        <w:rPr>
          <w:rFonts w:asciiTheme="minorHAnsi" w:hAnsiTheme="minorHAnsi"/>
          <w:b/>
          <w:sz w:val="24"/>
          <w:szCs w:val="24"/>
        </w:rPr>
        <w:t>Prílohy č. 1.</w:t>
      </w:r>
      <w:r w:rsidR="00DF5379">
        <w:rPr>
          <w:rFonts w:asciiTheme="minorHAnsi" w:hAnsiTheme="minorHAnsi"/>
          <w:b/>
          <w:sz w:val="24"/>
          <w:szCs w:val="24"/>
        </w:rPr>
        <w:t xml:space="preserve"> tejto Výzvy,</w:t>
      </w:r>
    </w:p>
    <w:p w14:paraId="30C179A9" w14:textId="674C8AB1" w:rsidR="00AC65BB" w:rsidRDefault="004973B4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>vypracovan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ý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 xml:space="preserve">návrh 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>príloh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y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č. 3 Zmluvy o spracúvaní osobných údajov, ktor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ý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je uveden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>ý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</w:t>
      </w:r>
      <w:r w:rsidRPr="00AC65BB">
        <w:rPr>
          <w:rFonts w:asciiTheme="minorHAnsi" w:hAnsiTheme="minorHAnsi"/>
          <w:b/>
          <w:color w:val="000000"/>
          <w:sz w:val="24"/>
          <w:szCs w:val="24"/>
          <w:lang w:eastAsia="sk-SK"/>
        </w:rPr>
        <w:t>v</w:t>
      </w:r>
      <w:r w:rsidR="00AC65BB">
        <w:rPr>
          <w:rFonts w:asciiTheme="minorHAnsi" w:hAnsiTheme="minorHAnsi"/>
          <w:b/>
          <w:color w:val="000000"/>
          <w:sz w:val="24"/>
          <w:szCs w:val="24"/>
          <w:lang w:eastAsia="sk-SK"/>
        </w:rPr>
        <w:t> Prílohe </w:t>
      </w:r>
      <w:r w:rsidRPr="00AC65BB">
        <w:rPr>
          <w:rFonts w:asciiTheme="minorHAnsi" w:hAnsiTheme="minorHAnsi"/>
          <w:b/>
          <w:color w:val="000000"/>
          <w:sz w:val="24"/>
          <w:szCs w:val="24"/>
          <w:lang w:eastAsia="sk-SK"/>
        </w:rPr>
        <w:t>č. 3</w:t>
      </w:r>
      <w:r w:rsidRPr="004973B4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tejto Výzvy, </w:t>
      </w:r>
      <w:r w:rsidR="00DF5379">
        <w:rPr>
          <w:rFonts w:asciiTheme="minorHAnsi" w:hAnsiTheme="minorHAnsi"/>
          <w:color w:val="000000"/>
          <w:sz w:val="24"/>
          <w:szCs w:val="24"/>
          <w:lang w:eastAsia="sk-SK"/>
        </w:rPr>
        <w:t xml:space="preserve">v ktorom uchádzač 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>uvedie technické</w:t>
      </w:r>
      <w:r w:rsidR="004F51FC">
        <w:rPr>
          <w:rFonts w:asciiTheme="minorHAnsi" w:hAnsiTheme="minorHAnsi"/>
          <w:color w:val="000000"/>
          <w:sz w:val="24"/>
          <w:szCs w:val="24"/>
          <w:lang w:eastAsia="sk-SK"/>
        </w:rPr>
        <w:t>,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 xml:space="preserve"> bezpečnostné </w:t>
      </w:r>
      <w:r w:rsidR="004F51FC">
        <w:rPr>
          <w:rFonts w:asciiTheme="minorHAnsi" w:hAnsiTheme="minorHAnsi"/>
          <w:color w:val="000000"/>
          <w:sz w:val="24"/>
          <w:szCs w:val="24"/>
          <w:lang w:eastAsia="sk-SK"/>
        </w:rPr>
        <w:t xml:space="preserve">a organizačné 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 xml:space="preserve">opatrenia na zabezpečenie ochrany osobných údajov, ktoré </w:t>
      </w:r>
      <w:r w:rsidR="00BC00F7">
        <w:rPr>
          <w:rFonts w:asciiTheme="minorHAnsi" w:hAnsiTheme="minorHAnsi"/>
          <w:color w:val="000000"/>
          <w:sz w:val="24"/>
          <w:szCs w:val="24"/>
          <w:lang w:eastAsia="sk-SK"/>
        </w:rPr>
        <w:t xml:space="preserve">musí 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>spĺňať</w:t>
      </w:r>
      <w:r w:rsidR="00BC00F7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ešte pred spracúvaním osobných údajov a v súlade s návrhom Zmluvy o ochrane osobných údajov.</w:t>
      </w:r>
      <w:r w:rsidR="00F920BC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</w:t>
      </w:r>
    </w:p>
    <w:p w14:paraId="09651533" w14:textId="77777777" w:rsidR="00AC65BB" w:rsidRPr="00AC65BB" w:rsidRDefault="00AC65BB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Doklad (</w:t>
      </w:r>
      <w:proofErr w:type="spellStart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sken</w:t>
      </w:r>
      <w:proofErr w:type="spellEnd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 xml:space="preserve">) o oprávnení uchádzača poskytovať službu podľa § 32 ods. 1 písm. e) zákona o VO, ktorý zodpovedá predmetu zákazky. </w:t>
      </w:r>
    </w:p>
    <w:p w14:paraId="05EAFFFA" w14:textId="77777777" w:rsidR="00AC65BB" w:rsidRPr="00AC65BB" w:rsidRDefault="00AC65BB" w:rsidP="00AC65BB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color w:val="000000"/>
          <w:sz w:val="24"/>
          <w:szCs w:val="24"/>
          <w:lang w:eastAsia="sk-SK"/>
        </w:rPr>
      </w:pPr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Čestné prehlásenie (</w:t>
      </w:r>
      <w:proofErr w:type="spellStart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sken</w:t>
      </w:r>
      <w:proofErr w:type="spellEnd"/>
      <w:r w:rsidRPr="00AC65BB">
        <w:rPr>
          <w:rFonts w:asciiTheme="minorHAnsi" w:hAnsiTheme="minorHAnsi"/>
          <w:color w:val="000000"/>
          <w:sz w:val="24"/>
          <w:szCs w:val="24"/>
          <w:lang w:eastAsia="sk-SK"/>
        </w:rPr>
        <w:t>) o skutočnosti, že uchádzač nemá uložený zákaz účasti vo verejnom obstarávaní potvrdený konečným rozhodnutím v Slovenskej republike alebo v štáte sídla, miesta podnikania alebo obvyklého pobytu v zmysle ustanovenia § 32 ods. 1 písm. f) zákona o VO. Čestné prehlásenie musí byť podpísané štatutárnym zástupcom uchádzača, alebo iným zástupcom uchádzača, ktorý je oprávnený konať v jeho mene.</w:t>
      </w:r>
    </w:p>
    <w:p w14:paraId="236AC103" w14:textId="2496AF1A" w:rsidR="00060A6C" w:rsidRDefault="00060A6C" w:rsidP="00060A6C">
      <w:pPr>
        <w:pStyle w:val="Odsekzoznamu"/>
        <w:spacing w:after="0" w:line="240" w:lineRule="auto"/>
        <w:ind w:left="1353"/>
        <w:contextualSpacing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43C83669" w14:textId="77777777" w:rsidR="008B3615" w:rsidRPr="0063639B" w:rsidRDefault="008B3615" w:rsidP="00060A6C">
      <w:pPr>
        <w:pStyle w:val="Odsekzoznamu"/>
        <w:spacing w:after="0" w:line="240" w:lineRule="auto"/>
        <w:ind w:left="1353"/>
        <w:contextualSpacing w:val="0"/>
        <w:jc w:val="both"/>
        <w:rPr>
          <w:rFonts w:asciiTheme="minorHAnsi" w:hAnsiTheme="minorHAnsi"/>
          <w:sz w:val="24"/>
          <w:szCs w:val="24"/>
          <w:highlight w:val="yellow"/>
        </w:rPr>
      </w:pPr>
    </w:p>
    <w:p w14:paraId="517B437D" w14:textId="77777777" w:rsidR="00A64822" w:rsidRPr="0063639B" w:rsidRDefault="00A64822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lastRenderedPageBreak/>
        <w:t>Kontaktná osoba vo veciach obsahovej stránky predmetu zákazky:</w:t>
      </w:r>
    </w:p>
    <w:p w14:paraId="00D9037B" w14:textId="77777777" w:rsidR="0030766A" w:rsidRDefault="0030766A" w:rsidP="00E84B9A">
      <w:pPr>
        <w:pStyle w:val="Default"/>
        <w:ind w:firstLine="426"/>
        <w:jc w:val="both"/>
        <w:rPr>
          <w:rFonts w:asciiTheme="minorHAnsi" w:hAnsiTheme="minorHAnsi" w:cs="Times New Roman"/>
          <w:bCs/>
          <w:iCs/>
        </w:rPr>
      </w:pPr>
    </w:p>
    <w:p w14:paraId="20673CD5" w14:textId="77777777" w:rsidR="00A64822" w:rsidRPr="0063639B" w:rsidRDefault="00A64822" w:rsidP="00E84B9A">
      <w:pPr>
        <w:pStyle w:val="Default"/>
        <w:ind w:firstLine="426"/>
        <w:jc w:val="both"/>
        <w:rPr>
          <w:rStyle w:val="Hypertextovprepojenie"/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  <w:bCs/>
          <w:iCs/>
        </w:rPr>
        <w:t xml:space="preserve">Ing. Emília Michaličková, tel. </w:t>
      </w:r>
      <w:r w:rsidRPr="0063639B">
        <w:rPr>
          <w:rFonts w:asciiTheme="minorHAnsi" w:hAnsiTheme="minorHAnsi" w:cs="Times New Roman"/>
        </w:rPr>
        <w:t xml:space="preserve">02/57 289 326, e-mail: </w:t>
      </w:r>
      <w:hyperlink r:id="rId9" w:history="1">
        <w:r w:rsidRPr="0063639B">
          <w:rPr>
            <w:rStyle w:val="Hypertextovprepojenie"/>
            <w:rFonts w:asciiTheme="minorHAnsi" w:hAnsiTheme="minorHAnsi" w:cs="Times New Roman"/>
          </w:rPr>
          <w:t>emichalickova@konsolidacna.sk</w:t>
        </w:r>
      </w:hyperlink>
      <w:r w:rsidRPr="0063639B">
        <w:rPr>
          <w:rStyle w:val="Hypertextovprepojenie"/>
          <w:rFonts w:asciiTheme="minorHAnsi" w:hAnsiTheme="minorHAnsi" w:cs="Times New Roman"/>
        </w:rPr>
        <w:t xml:space="preserve"> </w:t>
      </w:r>
    </w:p>
    <w:p w14:paraId="3395853B" w14:textId="77777777" w:rsidR="0063639B" w:rsidRPr="0063639B" w:rsidRDefault="0063639B" w:rsidP="0063639B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0A250336" w14:textId="77777777" w:rsidR="003E0582" w:rsidRPr="0063639B" w:rsidRDefault="00025328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 xml:space="preserve">Miesto </w:t>
      </w:r>
      <w:r w:rsidR="0086301D" w:rsidRPr="0063639B">
        <w:rPr>
          <w:rFonts w:asciiTheme="minorHAnsi" w:hAnsiTheme="minorHAnsi"/>
          <w:b/>
          <w:sz w:val="24"/>
          <w:szCs w:val="24"/>
          <w:u w:val="single"/>
        </w:rPr>
        <w:t>dodania</w:t>
      </w:r>
      <w:r w:rsidRPr="0063639B">
        <w:rPr>
          <w:rFonts w:asciiTheme="minorHAnsi" w:hAnsiTheme="minorHAnsi"/>
          <w:b/>
          <w:sz w:val="24"/>
          <w:szCs w:val="24"/>
          <w:u w:val="single"/>
        </w:rPr>
        <w:t xml:space="preserve"> predmetu zákazky:</w:t>
      </w:r>
    </w:p>
    <w:p w14:paraId="48F8F77C" w14:textId="77777777" w:rsidR="0030766A" w:rsidRDefault="0030766A" w:rsidP="00E84B9A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</w:p>
    <w:p w14:paraId="123B2F79" w14:textId="77777777" w:rsidR="00025328" w:rsidRPr="0063639B" w:rsidRDefault="00025328" w:rsidP="00E84B9A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63639B">
        <w:rPr>
          <w:rFonts w:asciiTheme="minorHAnsi" w:hAnsiTheme="minorHAnsi" w:cs="Times New Roman"/>
          <w:color w:val="auto"/>
        </w:rPr>
        <w:t>Cintorínska 21, 814 99 Bratislava</w:t>
      </w:r>
      <w:r w:rsidR="00BB5682" w:rsidRPr="0063639B">
        <w:rPr>
          <w:rFonts w:asciiTheme="minorHAnsi" w:hAnsiTheme="minorHAnsi" w:cs="Times New Roman"/>
          <w:color w:val="auto"/>
        </w:rPr>
        <w:t xml:space="preserve"> </w:t>
      </w:r>
      <w:r w:rsidRPr="0063639B">
        <w:rPr>
          <w:rFonts w:asciiTheme="minorHAnsi" w:hAnsiTheme="minorHAnsi" w:cs="Times New Roman"/>
          <w:color w:val="auto"/>
        </w:rPr>
        <w:t>1</w:t>
      </w:r>
    </w:p>
    <w:p w14:paraId="0398E178" w14:textId="77777777" w:rsidR="00060A6C" w:rsidRPr="0063639B" w:rsidRDefault="00060A6C" w:rsidP="00E84B9A">
      <w:pPr>
        <w:spacing w:after="0" w:line="240" w:lineRule="auto"/>
        <w:ind w:left="426"/>
        <w:jc w:val="both"/>
        <w:rPr>
          <w:rFonts w:asciiTheme="minorHAnsi" w:hAnsiTheme="minorHAnsi"/>
          <w:b/>
          <w:sz w:val="24"/>
          <w:szCs w:val="24"/>
        </w:rPr>
      </w:pPr>
    </w:p>
    <w:p w14:paraId="1B0E6807" w14:textId="77777777" w:rsidR="0009268E" w:rsidRPr="0063639B" w:rsidRDefault="0009268E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Kritéri</w:t>
      </w:r>
      <w:r w:rsidR="002A2CA6" w:rsidRPr="0063639B">
        <w:rPr>
          <w:rFonts w:asciiTheme="minorHAnsi" w:hAnsiTheme="minorHAnsi"/>
          <w:b/>
          <w:sz w:val="24"/>
          <w:szCs w:val="24"/>
          <w:u w:val="single"/>
        </w:rPr>
        <w:t>um</w:t>
      </w:r>
      <w:r w:rsidRPr="0063639B">
        <w:rPr>
          <w:rFonts w:asciiTheme="minorHAnsi" w:hAnsiTheme="minorHAnsi"/>
          <w:b/>
          <w:sz w:val="24"/>
          <w:szCs w:val="24"/>
          <w:u w:val="single"/>
        </w:rPr>
        <w:t xml:space="preserve"> na hodnotenie ponúk: </w:t>
      </w:r>
    </w:p>
    <w:p w14:paraId="12B98733" w14:textId="77777777" w:rsidR="0030766A" w:rsidRDefault="0030766A" w:rsidP="0063639B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</w:p>
    <w:p w14:paraId="72845AE8" w14:textId="77777777" w:rsidR="0009268E" w:rsidRPr="0063639B" w:rsidRDefault="00797F8A" w:rsidP="0063639B">
      <w:pPr>
        <w:pStyle w:val="Default"/>
        <w:ind w:left="426"/>
        <w:jc w:val="both"/>
        <w:rPr>
          <w:rFonts w:asciiTheme="minorHAnsi" w:hAnsiTheme="minorHAnsi" w:cs="Times New Roman"/>
          <w:color w:val="auto"/>
        </w:rPr>
      </w:pPr>
      <w:r w:rsidRPr="0063639B">
        <w:rPr>
          <w:rFonts w:asciiTheme="minorHAnsi" w:hAnsiTheme="minorHAnsi" w:cs="Times New Roman"/>
          <w:color w:val="auto"/>
        </w:rPr>
        <w:t>K</w:t>
      </w:r>
      <w:r w:rsidR="0009268E" w:rsidRPr="0063639B">
        <w:rPr>
          <w:rFonts w:asciiTheme="minorHAnsi" w:hAnsiTheme="minorHAnsi" w:cs="Times New Roman"/>
          <w:color w:val="auto"/>
        </w:rPr>
        <w:t>ritériom na hodnoteni</w:t>
      </w:r>
      <w:r w:rsidRPr="0063639B">
        <w:rPr>
          <w:rFonts w:asciiTheme="minorHAnsi" w:hAnsiTheme="minorHAnsi" w:cs="Times New Roman"/>
          <w:color w:val="auto"/>
        </w:rPr>
        <w:t>e</w:t>
      </w:r>
      <w:r w:rsidR="0009268E" w:rsidRPr="0063639B">
        <w:rPr>
          <w:rFonts w:asciiTheme="minorHAnsi" w:hAnsiTheme="minorHAnsi" w:cs="Times New Roman"/>
          <w:color w:val="auto"/>
        </w:rPr>
        <w:t xml:space="preserve"> ponúk je </w:t>
      </w:r>
      <w:r w:rsidR="00D947AE" w:rsidRPr="0063639B">
        <w:rPr>
          <w:rFonts w:asciiTheme="minorHAnsi" w:hAnsiTheme="minorHAnsi" w:cs="Times New Roman"/>
          <w:color w:val="auto"/>
        </w:rPr>
        <w:t xml:space="preserve">najnižšia </w:t>
      </w:r>
      <w:r w:rsidR="0009268E" w:rsidRPr="0063639B">
        <w:rPr>
          <w:rFonts w:asciiTheme="minorHAnsi" w:hAnsiTheme="minorHAnsi" w:cs="Times New Roman"/>
          <w:color w:val="auto"/>
        </w:rPr>
        <w:t>cena</w:t>
      </w:r>
      <w:r w:rsidRPr="0063639B">
        <w:rPr>
          <w:rFonts w:asciiTheme="minorHAnsi" w:hAnsiTheme="minorHAnsi" w:cs="Times New Roman"/>
          <w:color w:val="auto"/>
        </w:rPr>
        <w:t xml:space="preserve"> </w:t>
      </w:r>
      <w:r w:rsidR="003E66E2" w:rsidRPr="0063639B">
        <w:rPr>
          <w:rFonts w:asciiTheme="minorHAnsi" w:hAnsiTheme="minorHAnsi" w:cs="Times New Roman"/>
          <w:color w:val="auto"/>
        </w:rPr>
        <w:t xml:space="preserve">za </w:t>
      </w:r>
      <w:r w:rsidR="00171073" w:rsidRPr="0063639B">
        <w:rPr>
          <w:rFonts w:asciiTheme="minorHAnsi" w:hAnsiTheme="minorHAnsi" w:cs="Times New Roman"/>
          <w:color w:val="auto"/>
        </w:rPr>
        <w:t>cel</w:t>
      </w:r>
      <w:r w:rsidR="00086F55" w:rsidRPr="0063639B">
        <w:rPr>
          <w:rFonts w:asciiTheme="minorHAnsi" w:hAnsiTheme="minorHAnsi" w:cs="Times New Roman"/>
          <w:color w:val="auto"/>
        </w:rPr>
        <w:t>ý predmet zákazky opísaný v bodoch</w:t>
      </w:r>
      <w:r w:rsidR="007410F2" w:rsidRPr="0063639B">
        <w:rPr>
          <w:rFonts w:asciiTheme="minorHAnsi" w:hAnsiTheme="minorHAnsi" w:cs="Times New Roman"/>
          <w:color w:val="auto"/>
        </w:rPr>
        <w:t xml:space="preserve"> </w:t>
      </w:r>
      <w:r w:rsidR="004975D5" w:rsidRPr="0063639B">
        <w:rPr>
          <w:rFonts w:asciiTheme="minorHAnsi" w:hAnsiTheme="minorHAnsi" w:cs="Times New Roman"/>
          <w:color w:val="auto"/>
        </w:rPr>
        <w:t>1</w:t>
      </w:r>
      <w:r w:rsidR="00171073" w:rsidRPr="0063639B">
        <w:rPr>
          <w:rFonts w:asciiTheme="minorHAnsi" w:hAnsiTheme="minorHAnsi" w:cs="Times New Roman"/>
          <w:color w:val="auto"/>
        </w:rPr>
        <w:t>.</w:t>
      </w:r>
      <w:r w:rsidR="007410F2" w:rsidRPr="0063639B">
        <w:rPr>
          <w:rFonts w:asciiTheme="minorHAnsi" w:hAnsiTheme="minorHAnsi" w:cs="Times New Roman"/>
          <w:color w:val="auto"/>
        </w:rPr>
        <w:t xml:space="preserve"> </w:t>
      </w:r>
      <w:r w:rsidR="00EA3872" w:rsidRPr="0063639B">
        <w:rPr>
          <w:rFonts w:asciiTheme="minorHAnsi" w:hAnsiTheme="minorHAnsi" w:cs="Times New Roman"/>
          <w:color w:val="auto"/>
        </w:rPr>
        <w:t>a</w:t>
      </w:r>
      <w:r w:rsidR="002236E0">
        <w:rPr>
          <w:rFonts w:asciiTheme="minorHAnsi" w:hAnsiTheme="minorHAnsi" w:cs="Times New Roman"/>
          <w:color w:val="auto"/>
        </w:rPr>
        <w:t>ž 3</w:t>
      </w:r>
      <w:r w:rsidR="00086F55" w:rsidRPr="0063639B">
        <w:rPr>
          <w:rFonts w:asciiTheme="minorHAnsi" w:hAnsiTheme="minorHAnsi" w:cs="Times New Roman"/>
          <w:color w:val="auto"/>
        </w:rPr>
        <w:t>.</w:t>
      </w:r>
    </w:p>
    <w:p w14:paraId="5AA07D00" w14:textId="77777777" w:rsidR="00060A6C" w:rsidRPr="0063639B" w:rsidRDefault="00060A6C" w:rsidP="00E84B9A">
      <w:pPr>
        <w:pStyle w:val="Default"/>
        <w:ind w:left="357"/>
        <w:jc w:val="both"/>
        <w:rPr>
          <w:rFonts w:asciiTheme="minorHAnsi" w:hAnsiTheme="minorHAnsi" w:cs="Times New Roman"/>
          <w:color w:val="auto"/>
        </w:rPr>
      </w:pPr>
    </w:p>
    <w:p w14:paraId="59E8599E" w14:textId="77777777" w:rsidR="00B53DCA" w:rsidRPr="0063639B" w:rsidRDefault="0086301D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L</w:t>
      </w:r>
      <w:r w:rsidR="00B53DCA" w:rsidRPr="0063639B">
        <w:rPr>
          <w:rFonts w:asciiTheme="minorHAnsi" w:hAnsiTheme="minorHAnsi"/>
          <w:b/>
          <w:sz w:val="24"/>
          <w:szCs w:val="24"/>
          <w:u w:val="single"/>
        </w:rPr>
        <w:t>ehot</w:t>
      </w:r>
      <w:r w:rsidRPr="0063639B">
        <w:rPr>
          <w:rFonts w:asciiTheme="minorHAnsi" w:hAnsiTheme="minorHAnsi"/>
          <w:b/>
          <w:sz w:val="24"/>
          <w:szCs w:val="24"/>
          <w:u w:val="single"/>
        </w:rPr>
        <w:t>a</w:t>
      </w:r>
      <w:r w:rsidR="00B53DCA" w:rsidRPr="0063639B">
        <w:rPr>
          <w:rFonts w:asciiTheme="minorHAnsi" w:hAnsiTheme="minorHAnsi"/>
          <w:b/>
          <w:sz w:val="24"/>
          <w:szCs w:val="24"/>
          <w:u w:val="single"/>
        </w:rPr>
        <w:t xml:space="preserve"> na predkladanie ponúk:</w:t>
      </w:r>
    </w:p>
    <w:p w14:paraId="41C2DC76" w14:textId="77777777" w:rsidR="00CA11B4" w:rsidRPr="0063639B" w:rsidRDefault="00CA11B4" w:rsidP="00E84B9A">
      <w:pPr>
        <w:pStyle w:val="Default"/>
        <w:ind w:left="426" w:firstLine="141"/>
        <w:jc w:val="both"/>
        <w:rPr>
          <w:rFonts w:asciiTheme="minorHAnsi" w:hAnsiTheme="minorHAnsi" w:cs="Times New Roman"/>
          <w:b/>
          <w:color w:val="auto"/>
        </w:rPr>
      </w:pPr>
    </w:p>
    <w:p w14:paraId="6B908171" w14:textId="0901B50C" w:rsidR="006B1AFB" w:rsidRPr="0063639B" w:rsidRDefault="008B3615" w:rsidP="00E84B9A">
      <w:pPr>
        <w:pStyle w:val="Default"/>
        <w:ind w:left="426" w:firstLine="141"/>
        <w:jc w:val="both"/>
        <w:rPr>
          <w:rFonts w:asciiTheme="minorHAnsi" w:hAnsiTheme="minorHAnsi" w:cs="Times New Roman"/>
          <w:b/>
          <w:i/>
          <w:color w:val="auto"/>
        </w:rPr>
      </w:pPr>
      <w:r w:rsidRPr="008B3615">
        <w:rPr>
          <w:rFonts w:asciiTheme="minorHAnsi" w:hAnsiTheme="minorHAnsi" w:cs="Times New Roman"/>
          <w:b/>
          <w:color w:val="auto"/>
        </w:rPr>
        <w:t>22</w:t>
      </w:r>
      <w:r w:rsidR="006B1AFB" w:rsidRPr="008B3615">
        <w:rPr>
          <w:rFonts w:asciiTheme="minorHAnsi" w:hAnsiTheme="minorHAnsi" w:cs="Times New Roman"/>
          <w:b/>
          <w:color w:val="auto"/>
        </w:rPr>
        <w:t>.</w:t>
      </w:r>
      <w:r w:rsidRPr="008B3615">
        <w:rPr>
          <w:rFonts w:asciiTheme="minorHAnsi" w:hAnsiTheme="minorHAnsi" w:cs="Times New Roman"/>
          <w:b/>
          <w:color w:val="auto"/>
        </w:rPr>
        <w:t>11</w:t>
      </w:r>
      <w:r w:rsidR="00CA11B4" w:rsidRPr="008B3615">
        <w:rPr>
          <w:rFonts w:asciiTheme="minorHAnsi" w:hAnsiTheme="minorHAnsi" w:cs="Times New Roman"/>
          <w:b/>
          <w:color w:val="auto"/>
        </w:rPr>
        <w:t>.201</w:t>
      </w:r>
      <w:r w:rsidR="00F77B08" w:rsidRPr="008B3615">
        <w:rPr>
          <w:rFonts w:asciiTheme="minorHAnsi" w:hAnsiTheme="minorHAnsi" w:cs="Times New Roman"/>
          <w:b/>
          <w:color w:val="auto"/>
        </w:rPr>
        <w:t>9</w:t>
      </w:r>
    </w:p>
    <w:p w14:paraId="21C2BF71" w14:textId="77777777" w:rsidR="000A37A9" w:rsidRPr="0063639B" w:rsidRDefault="000A37A9" w:rsidP="00E84B9A">
      <w:pPr>
        <w:pStyle w:val="Default"/>
        <w:jc w:val="both"/>
        <w:rPr>
          <w:rFonts w:asciiTheme="minorHAnsi" w:hAnsiTheme="minorHAnsi" w:cs="Times New Roman"/>
        </w:rPr>
      </w:pPr>
    </w:p>
    <w:p w14:paraId="47372166" w14:textId="77777777" w:rsidR="00F05F0B" w:rsidRPr="0063639B" w:rsidRDefault="003F0570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Forma a spôsob predloženia ponúk:</w:t>
      </w:r>
    </w:p>
    <w:p w14:paraId="29092D9B" w14:textId="77777777" w:rsidR="00060A6C" w:rsidRPr="0063639B" w:rsidRDefault="00060A6C" w:rsidP="00060A6C">
      <w:pPr>
        <w:pStyle w:val="Odsekzoznamu"/>
        <w:spacing w:after="0" w:line="240" w:lineRule="auto"/>
        <w:ind w:left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60276E32" w14:textId="77777777" w:rsidR="004F58DF" w:rsidRPr="0063639B" w:rsidRDefault="00F05F0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Ponuky žiadame doručiť e-mailom na adresu:</w:t>
      </w:r>
      <w:r w:rsidR="00B6172F" w:rsidRPr="0063639B">
        <w:rPr>
          <w:rFonts w:asciiTheme="minorHAnsi" w:hAnsiTheme="minorHAnsi" w:cs="Times New Roman"/>
        </w:rPr>
        <w:t xml:space="preserve"> </w:t>
      </w:r>
      <w:hyperlink r:id="rId10" w:history="1">
        <w:r w:rsidR="00854EF1" w:rsidRPr="0063639B">
          <w:rPr>
            <w:rStyle w:val="Hypertextovprepojenie"/>
            <w:rFonts w:asciiTheme="minorHAnsi" w:hAnsiTheme="minorHAnsi" w:cs="Times New Roman"/>
          </w:rPr>
          <w:t>obstaravanie@konsolidacna.sk</w:t>
        </w:r>
      </w:hyperlink>
      <w:r w:rsidR="00854EF1" w:rsidRPr="0063639B">
        <w:rPr>
          <w:rFonts w:asciiTheme="minorHAnsi" w:hAnsiTheme="minorHAnsi" w:cs="Times New Roman"/>
        </w:rPr>
        <w:t xml:space="preserve"> </w:t>
      </w:r>
    </w:p>
    <w:p w14:paraId="63BB5AAA" w14:textId="77777777" w:rsidR="00060A6C" w:rsidRPr="0063639B" w:rsidRDefault="00060A6C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</w:p>
    <w:p w14:paraId="2592182E" w14:textId="77777777" w:rsidR="001853BE" w:rsidRPr="0063639B" w:rsidRDefault="001853BE" w:rsidP="00E84B9A">
      <w:pPr>
        <w:pStyle w:val="Odsekzoznamu"/>
        <w:numPr>
          <w:ilvl w:val="0"/>
          <w:numId w:val="17"/>
        </w:numPr>
        <w:spacing w:after="0" w:line="240" w:lineRule="auto"/>
        <w:ind w:left="426" w:hanging="426"/>
        <w:contextualSpacing w:val="0"/>
        <w:jc w:val="both"/>
        <w:rPr>
          <w:rFonts w:asciiTheme="minorHAnsi" w:hAnsiTheme="minorHAnsi"/>
          <w:b/>
          <w:sz w:val="24"/>
          <w:szCs w:val="24"/>
          <w:u w:val="single"/>
        </w:rPr>
      </w:pPr>
      <w:r w:rsidRPr="0063639B">
        <w:rPr>
          <w:rFonts w:asciiTheme="minorHAnsi" w:hAnsiTheme="minorHAnsi"/>
          <w:b/>
          <w:sz w:val="24"/>
          <w:szCs w:val="24"/>
          <w:u w:val="single"/>
        </w:rPr>
        <w:t>Dôvody zrušenia zadania zákazky:</w:t>
      </w:r>
    </w:p>
    <w:p w14:paraId="70B6702E" w14:textId="77777777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Ak nebola predložená ani jedna ponuka,</w:t>
      </w:r>
    </w:p>
    <w:p w14:paraId="21FA7BE4" w14:textId="0C1C8982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 xml:space="preserve">ak ani jeden z uchádzačov nesplnil podmienky </w:t>
      </w:r>
      <w:r w:rsidR="007D25CE">
        <w:rPr>
          <w:rFonts w:asciiTheme="minorHAnsi" w:hAnsiTheme="minorHAnsi" w:cs="Times New Roman"/>
        </w:rPr>
        <w:t>tejto V</w:t>
      </w:r>
      <w:r w:rsidRPr="0063639B">
        <w:rPr>
          <w:rFonts w:asciiTheme="minorHAnsi" w:hAnsiTheme="minorHAnsi" w:cs="Times New Roman"/>
        </w:rPr>
        <w:t>ýzvy,</w:t>
      </w:r>
    </w:p>
    <w:p w14:paraId="216F91F4" w14:textId="77777777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ak ani jedna z ponúk nevyhovuje požiadavkám verejného obstarávateľa,</w:t>
      </w:r>
    </w:p>
    <w:p w14:paraId="503EF2FD" w14:textId="77777777" w:rsidR="006B1AFB" w:rsidRPr="0063639B" w:rsidRDefault="006B1AFB" w:rsidP="00E84B9A">
      <w:pPr>
        <w:pStyle w:val="Default"/>
        <w:ind w:firstLine="426"/>
        <w:jc w:val="both"/>
        <w:rPr>
          <w:rFonts w:asciiTheme="minorHAnsi" w:hAnsiTheme="minorHAnsi" w:cs="Times New Roman"/>
        </w:rPr>
      </w:pPr>
      <w:r w:rsidRPr="0063639B">
        <w:rPr>
          <w:rFonts w:asciiTheme="minorHAnsi" w:hAnsiTheme="minorHAnsi" w:cs="Times New Roman"/>
        </w:rPr>
        <w:t>ak sa zmenili o</w:t>
      </w:r>
      <w:bookmarkStart w:id="0" w:name="_GoBack"/>
      <w:bookmarkEnd w:id="0"/>
      <w:r w:rsidRPr="0063639B">
        <w:rPr>
          <w:rFonts w:asciiTheme="minorHAnsi" w:hAnsiTheme="minorHAnsi" w:cs="Times New Roman"/>
        </w:rPr>
        <w:t>kolnosti, za ktorých bolo obstarávanie vyhlásené.</w:t>
      </w:r>
    </w:p>
    <w:p w14:paraId="19FCBA57" w14:textId="77777777" w:rsidR="003861FD" w:rsidRDefault="006B1AFB" w:rsidP="003861FD">
      <w:pPr>
        <w:pStyle w:val="Default"/>
        <w:ind w:firstLine="426"/>
        <w:jc w:val="both"/>
        <w:rPr>
          <w:rFonts w:asciiTheme="minorHAnsi" w:hAnsiTheme="minorHAnsi"/>
        </w:rPr>
      </w:pPr>
      <w:r w:rsidRPr="0063639B">
        <w:rPr>
          <w:rFonts w:asciiTheme="minorHAnsi" w:hAnsiTheme="minorHAnsi" w:cs="Times New Roman"/>
        </w:rPr>
        <w:t>Verejný obstarávateľ</w:t>
      </w:r>
      <w:r w:rsidRPr="0063639B">
        <w:rPr>
          <w:rFonts w:asciiTheme="minorHAnsi" w:hAnsiTheme="minorHAnsi"/>
        </w:rPr>
        <w:t xml:space="preserve"> si vyhradzuje právo odmietnuť všetky predložené ponuky. </w:t>
      </w:r>
    </w:p>
    <w:p w14:paraId="0F855AB3" w14:textId="77777777" w:rsidR="003861FD" w:rsidRPr="0030766A" w:rsidRDefault="003861FD" w:rsidP="003861FD">
      <w:pPr>
        <w:pStyle w:val="Default"/>
        <w:jc w:val="both"/>
        <w:rPr>
          <w:rFonts w:asciiTheme="minorHAnsi" w:hAnsiTheme="minorHAnsi"/>
        </w:rPr>
      </w:pPr>
    </w:p>
    <w:p w14:paraId="09F53642" w14:textId="1943CC54" w:rsidR="003861FD" w:rsidRPr="0030766A" w:rsidRDefault="003861FD" w:rsidP="003861FD">
      <w:pPr>
        <w:pStyle w:val="Default"/>
        <w:jc w:val="both"/>
        <w:rPr>
          <w:rFonts w:asciiTheme="minorHAnsi" w:hAnsiTheme="minorHAnsi"/>
        </w:rPr>
      </w:pPr>
      <w:r w:rsidRPr="0030766A">
        <w:rPr>
          <w:rFonts w:asciiTheme="minorHAnsi" w:hAnsiTheme="minorHAnsi" w:cs="Times New Roman"/>
        </w:rPr>
        <w:t xml:space="preserve">Verejný obstarávateľ neuzavrie </w:t>
      </w:r>
      <w:r w:rsidR="005B4193">
        <w:rPr>
          <w:rFonts w:asciiTheme="minorHAnsi" w:hAnsiTheme="minorHAnsi" w:cs="Times New Roman"/>
        </w:rPr>
        <w:t xml:space="preserve">zmluvu </w:t>
      </w:r>
      <w:r w:rsidRPr="0030766A">
        <w:rPr>
          <w:rFonts w:asciiTheme="minorHAnsi" w:hAnsiTheme="minorHAnsi" w:cs="Times New Roman"/>
        </w:rPr>
        <w:t>o poskytovaní služieb s uchádzačom, ktorý nespĺňa podmienky účasti podľa § 32 ods. 1 písm. e) a f) zákona o VO, alebo ak u neho existuje dôvod na vylúčenie podľa § 40 ods. 6 písm. f) zákona o VO. Ustanovenie § 11 zákona o VO tým nie je dotknuté.</w:t>
      </w:r>
    </w:p>
    <w:p w14:paraId="1F2F426B" w14:textId="77777777" w:rsidR="001853BE" w:rsidRPr="0030766A" w:rsidRDefault="001853BE" w:rsidP="00E84B9A">
      <w:pPr>
        <w:spacing w:after="0" w:line="240" w:lineRule="auto"/>
        <w:jc w:val="right"/>
        <w:rPr>
          <w:rFonts w:asciiTheme="minorHAnsi" w:hAnsiTheme="minorHAnsi"/>
          <w:sz w:val="24"/>
          <w:szCs w:val="24"/>
        </w:rPr>
      </w:pPr>
    </w:p>
    <w:p w14:paraId="7313BE70" w14:textId="77777777" w:rsidR="00392FA6" w:rsidRPr="0030766A" w:rsidRDefault="00392FA6" w:rsidP="00E84B9A">
      <w:pPr>
        <w:pStyle w:val="Bezriadkovania"/>
        <w:rPr>
          <w:rFonts w:asciiTheme="minorHAnsi" w:hAnsiTheme="minorHAnsi"/>
          <w:sz w:val="24"/>
          <w:szCs w:val="24"/>
        </w:rPr>
      </w:pPr>
      <w:r w:rsidRPr="0030766A">
        <w:rPr>
          <w:rFonts w:asciiTheme="minorHAnsi" w:hAnsiTheme="minorHAnsi"/>
          <w:sz w:val="24"/>
          <w:szCs w:val="24"/>
        </w:rPr>
        <w:t xml:space="preserve">Príloha č. 1: </w:t>
      </w:r>
      <w:r w:rsidRPr="0030766A">
        <w:rPr>
          <w:rFonts w:asciiTheme="minorHAnsi" w:hAnsiTheme="minorHAnsi"/>
          <w:sz w:val="24"/>
          <w:szCs w:val="24"/>
        </w:rPr>
        <w:tab/>
        <w:t>Cenová ponuka</w:t>
      </w:r>
      <w:r w:rsidR="005163BF">
        <w:rPr>
          <w:rFonts w:asciiTheme="minorHAnsi" w:hAnsiTheme="minorHAnsi"/>
          <w:sz w:val="24"/>
          <w:szCs w:val="24"/>
        </w:rPr>
        <w:t>,</w:t>
      </w:r>
    </w:p>
    <w:p w14:paraId="577DB809" w14:textId="590284B6" w:rsidR="00A4013C" w:rsidRPr="0030766A" w:rsidRDefault="00940BD0" w:rsidP="00E84B9A">
      <w:pPr>
        <w:pStyle w:val="Bezriadkovania"/>
        <w:rPr>
          <w:rFonts w:asciiTheme="minorHAnsi" w:hAnsiTheme="minorHAnsi"/>
          <w:sz w:val="24"/>
          <w:szCs w:val="24"/>
        </w:rPr>
      </w:pPr>
      <w:r w:rsidRPr="0030766A">
        <w:rPr>
          <w:rFonts w:asciiTheme="minorHAnsi" w:hAnsiTheme="minorHAnsi"/>
          <w:sz w:val="24"/>
          <w:szCs w:val="24"/>
        </w:rPr>
        <w:t xml:space="preserve">Príloha č. 2: </w:t>
      </w:r>
      <w:r w:rsidRPr="0030766A">
        <w:rPr>
          <w:rFonts w:asciiTheme="minorHAnsi" w:hAnsiTheme="minorHAnsi"/>
          <w:sz w:val="24"/>
          <w:szCs w:val="24"/>
        </w:rPr>
        <w:tab/>
      </w:r>
      <w:r w:rsidR="005163BF">
        <w:rPr>
          <w:rFonts w:asciiTheme="minorHAnsi" w:hAnsiTheme="minorHAnsi"/>
          <w:sz w:val="24"/>
          <w:szCs w:val="24"/>
        </w:rPr>
        <w:t xml:space="preserve">návrh </w:t>
      </w:r>
      <w:r w:rsidRPr="0030766A">
        <w:rPr>
          <w:rFonts w:asciiTheme="minorHAnsi" w:hAnsiTheme="minorHAnsi"/>
          <w:sz w:val="24"/>
          <w:szCs w:val="24"/>
        </w:rPr>
        <w:t>Zmluv</w:t>
      </w:r>
      <w:r w:rsidR="005163BF">
        <w:rPr>
          <w:rFonts w:asciiTheme="minorHAnsi" w:hAnsiTheme="minorHAnsi"/>
          <w:sz w:val="24"/>
          <w:szCs w:val="24"/>
        </w:rPr>
        <w:t>y</w:t>
      </w:r>
      <w:r w:rsidRPr="0030766A">
        <w:rPr>
          <w:rFonts w:asciiTheme="minorHAnsi" w:hAnsiTheme="minorHAnsi"/>
          <w:sz w:val="24"/>
          <w:szCs w:val="24"/>
        </w:rPr>
        <w:t xml:space="preserve"> o poskytnutí služieb</w:t>
      </w:r>
      <w:r w:rsidR="005163BF">
        <w:rPr>
          <w:rFonts w:asciiTheme="minorHAnsi" w:hAnsiTheme="minorHAnsi"/>
          <w:sz w:val="24"/>
          <w:szCs w:val="24"/>
        </w:rPr>
        <w:t>,</w:t>
      </w:r>
    </w:p>
    <w:p w14:paraId="0D0A1A19" w14:textId="50AA1DEC" w:rsidR="00A4013C" w:rsidRPr="0030766A" w:rsidRDefault="00A4013C" w:rsidP="00E84B9A">
      <w:pPr>
        <w:pStyle w:val="Bezriadkovania"/>
        <w:rPr>
          <w:rFonts w:asciiTheme="minorHAnsi" w:hAnsiTheme="minorHAnsi"/>
          <w:sz w:val="24"/>
          <w:szCs w:val="24"/>
        </w:rPr>
      </w:pPr>
      <w:r w:rsidRPr="0030766A">
        <w:rPr>
          <w:rFonts w:asciiTheme="minorHAnsi" w:hAnsiTheme="minorHAnsi"/>
          <w:sz w:val="24"/>
          <w:szCs w:val="24"/>
        </w:rPr>
        <w:t xml:space="preserve">Príloha č. </w:t>
      </w:r>
      <w:r w:rsidR="006A20B1" w:rsidRPr="0030766A">
        <w:rPr>
          <w:rFonts w:asciiTheme="minorHAnsi" w:hAnsiTheme="minorHAnsi"/>
          <w:sz w:val="24"/>
          <w:szCs w:val="24"/>
        </w:rPr>
        <w:t>3</w:t>
      </w:r>
      <w:r w:rsidRPr="0030766A">
        <w:rPr>
          <w:rFonts w:asciiTheme="minorHAnsi" w:hAnsiTheme="minorHAnsi"/>
          <w:sz w:val="24"/>
          <w:szCs w:val="24"/>
        </w:rPr>
        <w:t xml:space="preserve">: </w:t>
      </w:r>
      <w:r w:rsidRPr="0030766A">
        <w:rPr>
          <w:rFonts w:asciiTheme="minorHAnsi" w:hAnsiTheme="minorHAnsi"/>
          <w:sz w:val="24"/>
          <w:szCs w:val="24"/>
        </w:rPr>
        <w:tab/>
      </w:r>
      <w:r w:rsidR="005163BF">
        <w:rPr>
          <w:rFonts w:asciiTheme="minorHAnsi" w:hAnsiTheme="minorHAnsi"/>
          <w:sz w:val="24"/>
          <w:szCs w:val="24"/>
        </w:rPr>
        <w:t xml:space="preserve">návrh </w:t>
      </w:r>
      <w:r w:rsidRPr="0030766A">
        <w:rPr>
          <w:rFonts w:asciiTheme="minorHAnsi" w:hAnsiTheme="minorHAnsi"/>
          <w:sz w:val="24"/>
          <w:szCs w:val="24"/>
        </w:rPr>
        <w:t>Zmluv</w:t>
      </w:r>
      <w:r w:rsidR="005163BF">
        <w:rPr>
          <w:rFonts w:asciiTheme="minorHAnsi" w:hAnsiTheme="minorHAnsi"/>
          <w:sz w:val="24"/>
          <w:szCs w:val="24"/>
        </w:rPr>
        <w:t>y</w:t>
      </w:r>
      <w:r w:rsidRPr="0030766A">
        <w:rPr>
          <w:rFonts w:asciiTheme="minorHAnsi" w:hAnsiTheme="minorHAnsi"/>
          <w:sz w:val="24"/>
          <w:szCs w:val="24"/>
        </w:rPr>
        <w:t xml:space="preserve"> o </w:t>
      </w:r>
      <w:r w:rsidR="0030766A" w:rsidRPr="004973B4">
        <w:rPr>
          <w:rFonts w:asciiTheme="minorHAnsi" w:hAnsiTheme="minorHAnsi"/>
          <w:color w:val="000000"/>
          <w:sz w:val="24"/>
          <w:szCs w:val="24"/>
          <w:lang w:eastAsia="sk-SK"/>
        </w:rPr>
        <w:t>spracúvaní osobných údajov</w:t>
      </w:r>
      <w:r w:rsidR="005163BF">
        <w:rPr>
          <w:rFonts w:asciiTheme="minorHAnsi" w:hAnsiTheme="minorHAnsi"/>
          <w:color w:val="000000"/>
          <w:sz w:val="24"/>
          <w:szCs w:val="24"/>
          <w:lang w:eastAsia="sk-SK"/>
        </w:rPr>
        <w:t xml:space="preserve"> vrátane jej príloh č. 1 až 4.</w:t>
      </w:r>
    </w:p>
    <w:p w14:paraId="5797E8FA" w14:textId="77777777" w:rsidR="00A4013C" w:rsidRPr="0063639B" w:rsidRDefault="00A4013C" w:rsidP="00E84B9A">
      <w:pPr>
        <w:pStyle w:val="Bezriadkovania"/>
        <w:rPr>
          <w:rFonts w:asciiTheme="minorHAnsi" w:hAnsiTheme="minorHAnsi"/>
          <w:sz w:val="24"/>
          <w:szCs w:val="24"/>
        </w:rPr>
      </w:pPr>
    </w:p>
    <w:sectPr w:rsidR="00A4013C" w:rsidRPr="0063639B" w:rsidSect="001414CC">
      <w:footerReference w:type="default" r:id="rId11"/>
      <w:pgSz w:w="11906" w:h="16838"/>
      <w:pgMar w:top="851" w:right="991" w:bottom="1276" w:left="1417" w:header="426" w:footer="708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BFFBB2" w16cid:durableId="217191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3B8953" w14:textId="77777777" w:rsidR="00DB3855" w:rsidRDefault="00DB3855" w:rsidP="00801EBB">
      <w:pPr>
        <w:spacing w:after="0" w:line="240" w:lineRule="auto"/>
      </w:pPr>
      <w:r>
        <w:separator/>
      </w:r>
    </w:p>
  </w:endnote>
  <w:endnote w:type="continuationSeparator" w:id="0">
    <w:p w14:paraId="50C59BD1" w14:textId="77777777" w:rsidR="00DB3855" w:rsidRDefault="00DB3855" w:rsidP="00801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33528905"/>
      <w:docPartObj>
        <w:docPartGallery w:val="Page Numbers (Bottom of Page)"/>
        <w:docPartUnique/>
      </w:docPartObj>
    </w:sdtPr>
    <w:sdtEndPr/>
    <w:sdtContent>
      <w:p w14:paraId="3ABB386E" w14:textId="4810C249" w:rsidR="0030766A" w:rsidRDefault="0030766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5CE">
          <w:rPr>
            <w:noProof/>
          </w:rPr>
          <w:t>4</w:t>
        </w:r>
        <w:r>
          <w:fldChar w:fldCharType="end"/>
        </w:r>
      </w:p>
    </w:sdtContent>
  </w:sdt>
  <w:p w14:paraId="3B70AC3A" w14:textId="77777777" w:rsidR="00A67FEC" w:rsidRDefault="00A67FEC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2A6D51" w14:textId="77777777" w:rsidR="00DB3855" w:rsidRDefault="00DB3855" w:rsidP="00801EBB">
      <w:pPr>
        <w:spacing w:after="0" w:line="240" w:lineRule="auto"/>
      </w:pPr>
      <w:r>
        <w:separator/>
      </w:r>
    </w:p>
  </w:footnote>
  <w:footnote w:type="continuationSeparator" w:id="0">
    <w:p w14:paraId="094D9732" w14:textId="77777777" w:rsidR="00DB3855" w:rsidRDefault="00DB3855" w:rsidP="00801E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1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·"/>
      <w:lvlJc w:val="left"/>
      <w:pPr>
        <w:tabs>
          <w:tab w:val="num" w:pos="283"/>
        </w:tabs>
        <w:ind w:left="283" w:hanging="283"/>
      </w:pPr>
      <w:rPr>
        <w:rFonts w:ascii="Symbol" w:hAnsi="Symbol"/>
        <w:sz w:val="18"/>
      </w:rPr>
    </w:lvl>
    <w:lvl w:ilvl="1">
      <w:start w:val="1"/>
      <w:numFmt w:val="bullet"/>
      <w:lvlText w:val="·"/>
      <w:lvlJc w:val="left"/>
      <w:pPr>
        <w:tabs>
          <w:tab w:val="num" w:pos="567"/>
        </w:tabs>
        <w:ind w:left="567" w:hanging="283"/>
      </w:pPr>
      <w:rPr>
        <w:rFonts w:ascii="Symbol" w:hAnsi="Symbol"/>
        <w:sz w:val="18"/>
      </w:rPr>
    </w:lvl>
    <w:lvl w:ilvl="2">
      <w:start w:val="1"/>
      <w:numFmt w:val="bullet"/>
      <w:lvlText w:val="·"/>
      <w:lvlJc w:val="left"/>
      <w:pPr>
        <w:tabs>
          <w:tab w:val="num" w:pos="850"/>
        </w:tabs>
        <w:ind w:left="850" w:hanging="283"/>
      </w:pPr>
      <w:rPr>
        <w:rFonts w:ascii="Symbol" w:hAnsi="Symbol"/>
        <w:sz w:val="18"/>
      </w:rPr>
    </w:lvl>
    <w:lvl w:ilvl="3">
      <w:start w:val="1"/>
      <w:numFmt w:val="bullet"/>
      <w:lvlText w:val="·"/>
      <w:lvlJc w:val="left"/>
      <w:pPr>
        <w:tabs>
          <w:tab w:val="num" w:pos="1134"/>
        </w:tabs>
        <w:ind w:left="1134" w:hanging="283"/>
      </w:pPr>
      <w:rPr>
        <w:rFonts w:ascii="Symbol" w:hAnsi="Symbol"/>
        <w:sz w:val="18"/>
      </w:rPr>
    </w:lvl>
    <w:lvl w:ilvl="4">
      <w:start w:val="1"/>
      <w:numFmt w:val="bullet"/>
      <w:lvlText w:val="·"/>
      <w:lvlJc w:val="left"/>
      <w:pPr>
        <w:tabs>
          <w:tab w:val="num" w:pos="1417"/>
        </w:tabs>
        <w:ind w:left="1417" w:hanging="283"/>
      </w:pPr>
      <w:rPr>
        <w:rFonts w:ascii="Symbol" w:hAnsi="Symbol"/>
        <w:sz w:val="18"/>
      </w:rPr>
    </w:lvl>
    <w:lvl w:ilvl="5">
      <w:start w:val="1"/>
      <w:numFmt w:val="bullet"/>
      <w:lvlText w:val="·"/>
      <w:lvlJc w:val="left"/>
      <w:pPr>
        <w:tabs>
          <w:tab w:val="num" w:pos="1701"/>
        </w:tabs>
        <w:ind w:left="1701" w:hanging="283"/>
      </w:pPr>
      <w:rPr>
        <w:rFonts w:ascii="Symbol" w:hAnsi="Symbol"/>
        <w:sz w:val="18"/>
      </w:rPr>
    </w:lvl>
    <w:lvl w:ilvl="6">
      <w:start w:val="1"/>
      <w:numFmt w:val="bullet"/>
      <w:lvlText w:val="·"/>
      <w:lvlJc w:val="left"/>
      <w:pPr>
        <w:tabs>
          <w:tab w:val="num" w:pos="1984"/>
        </w:tabs>
        <w:ind w:left="1984" w:hanging="283"/>
      </w:pPr>
      <w:rPr>
        <w:rFonts w:ascii="Symbol" w:hAnsi="Symbol"/>
        <w:sz w:val="18"/>
      </w:rPr>
    </w:lvl>
    <w:lvl w:ilvl="7">
      <w:start w:val="1"/>
      <w:numFmt w:val="bullet"/>
      <w:lvlText w:val="·"/>
      <w:lvlJc w:val="left"/>
      <w:pPr>
        <w:tabs>
          <w:tab w:val="num" w:pos="2268"/>
        </w:tabs>
        <w:ind w:left="2268" w:hanging="283"/>
      </w:pPr>
      <w:rPr>
        <w:rFonts w:ascii="Symbol" w:hAnsi="Symbol"/>
        <w:sz w:val="18"/>
      </w:rPr>
    </w:lvl>
    <w:lvl w:ilvl="8">
      <w:start w:val="1"/>
      <w:numFmt w:val="bullet"/>
      <w:lvlText w:val="·"/>
      <w:lvlJc w:val="left"/>
      <w:pPr>
        <w:tabs>
          <w:tab w:val="num" w:pos="2551"/>
        </w:tabs>
        <w:ind w:left="2551" w:hanging="283"/>
      </w:pPr>
      <w:rPr>
        <w:rFonts w:ascii="Symbol" w:hAnsi="Symbol"/>
        <w:sz w:val="18"/>
      </w:rPr>
    </w:lvl>
  </w:abstractNum>
  <w:abstractNum w:abstractNumId="2" w15:restartNumberingAfterBreak="0">
    <w:nsid w:val="082F2A92"/>
    <w:multiLevelType w:val="hybridMultilevel"/>
    <w:tmpl w:val="4392BC3C"/>
    <w:lvl w:ilvl="0" w:tplc="F11666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57BE6"/>
    <w:multiLevelType w:val="hybridMultilevel"/>
    <w:tmpl w:val="CC902D9A"/>
    <w:lvl w:ilvl="0" w:tplc="B66E48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B6F6244"/>
    <w:multiLevelType w:val="hybridMultilevel"/>
    <w:tmpl w:val="F00EE6FA"/>
    <w:lvl w:ilvl="0" w:tplc="3D84757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84C63DE6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84616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B3D00"/>
    <w:multiLevelType w:val="hybridMultilevel"/>
    <w:tmpl w:val="CC1E14A8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0C91012"/>
    <w:multiLevelType w:val="multilevel"/>
    <w:tmpl w:val="6784D4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7D7A7A"/>
    <w:multiLevelType w:val="hybridMultilevel"/>
    <w:tmpl w:val="F56488F8"/>
    <w:lvl w:ilvl="0" w:tplc="E5188C3A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67891"/>
    <w:multiLevelType w:val="hybridMultilevel"/>
    <w:tmpl w:val="6AF6D1CC"/>
    <w:lvl w:ilvl="0" w:tplc="F8C66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9C417B1"/>
    <w:multiLevelType w:val="hybridMultilevel"/>
    <w:tmpl w:val="3E1070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3B0412"/>
    <w:multiLevelType w:val="hybridMultilevel"/>
    <w:tmpl w:val="D30E62FA"/>
    <w:lvl w:ilvl="0" w:tplc="93D493D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55A3040"/>
    <w:multiLevelType w:val="multilevel"/>
    <w:tmpl w:val="2BF4A8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i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7F114BB"/>
    <w:multiLevelType w:val="multilevel"/>
    <w:tmpl w:val="E972552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C7388"/>
    <w:multiLevelType w:val="hybridMultilevel"/>
    <w:tmpl w:val="CFCA0D0A"/>
    <w:lvl w:ilvl="0" w:tplc="041B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D227C2"/>
    <w:multiLevelType w:val="hybridMultilevel"/>
    <w:tmpl w:val="BA361B52"/>
    <w:lvl w:ilvl="0" w:tplc="8116BE3E">
      <w:start w:val="1"/>
      <w:numFmt w:val="lowerLetter"/>
      <w:lvlText w:val="%1)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2EF95149"/>
    <w:multiLevelType w:val="hybridMultilevel"/>
    <w:tmpl w:val="4330012A"/>
    <w:lvl w:ilvl="0" w:tplc="041B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32B04829"/>
    <w:multiLevelType w:val="hybridMultilevel"/>
    <w:tmpl w:val="E0E411CC"/>
    <w:lvl w:ilvl="0" w:tplc="1EFC246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C332D4"/>
    <w:multiLevelType w:val="hybridMultilevel"/>
    <w:tmpl w:val="77BA7D1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5A3114"/>
    <w:multiLevelType w:val="hybridMultilevel"/>
    <w:tmpl w:val="4EE40348"/>
    <w:lvl w:ilvl="0" w:tplc="1F2C28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404B3990"/>
    <w:multiLevelType w:val="hybridMultilevel"/>
    <w:tmpl w:val="CB2A9320"/>
    <w:lvl w:ilvl="0" w:tplc="79949E0C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1" w15:restartNumberingAfterBreak="0">
    <w:nsid w:val="43D05461"/>
    <w:multiLevelType w:val="hybridMultilevel"/>
    <w:tmpl w:val="B316C7CE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44205507"/>
    <w:multiLevelType w:val="hybridMultilevel"/>
    <w:tmpl w:val="6CC67510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5271C6E"/>
    <w:multiLevelType w:val="multilevel"/>
    <w:tmpl w:val="A8F41E06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/>
        <w:sz w:val="22"/>
        <w:szCs w:val="22"/>
      </w:rPr>
    </w:lvl>
    <w:lvl w:ilvl="1">
      <w:start w:val="1"/>
      <w:numFmt w:val="decimal"/>
      <w:lvlText w:val="%1.%2."/>
      <w:lvlJc w:val="left"/>
      <w:pPr>
        <w:ind w:left="907" w:hanging="547"/>
      </w:pPr>
      <w:rPr>
        <w:rFonts w:ascii="Calibri" w:eastAsia="MS Mincho" w:hAnsi="Calibri" w:cs="Times New Roman"/>
        <w:b w:val="0"/>
        <w:i w:val="0"/>
        <w:color w:val="000000"/>
        <w:sz w:val="22"/>
        <w:szCs w:val="22"/>
        <w:lang w:eastAsia="sk-SK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Calibri" w:hAnsi="Calibri" w:cs="Times New Roman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Calibri" w:hAnsi="Calibri" w:cs="Times New Roman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Calibri" w:hAnsi="Calibri" w:cs="Times New Roman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Calibri" w:hAnsi="Calibri" w:cs="Times New Roman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Calibri" w:hAnsi="Calibri" w:cs="Times New Roman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Calibri" w:hAnsi="Calibri" w:cs="Times New Roman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Calibri" w:hAnsi="Calibri" w:cs="Times New Roman"/>
        <w:sz w:val="22"/>
        <w:szCs w:val="22"/>
      </w:rPr>
    </w:lvl>
  </w:abstractNum>
  <w:abstractNum w:abstractNumId="24" w15:restartNumberingAfterBreak="0">
    <w:nsid w:val="48AE0253"/>
    <w:multiLevelType w:val="hybridMultilevel"/>
    <w:tmpl w:val="61DC96F6"/>
    <w:lvl w:ilvl="0" w:tplc="F5B01C3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676012"/>
    <w:multiLevelType w:val="hybridMultilevel"/>
    <w:tmpl w:val="D6A07530"/>
    <w:lvl w:ilvl="0" w:tplc="4C4EA30A">
      <w:start w:val="1"/>
      <w:numFmt w:val="lowerLetter"/>
      <w:lvlText w:val="%1)"/>
      <w:lvlJc w:val="left"/>
      <w:pPr>
        <w:ind w:left="199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2718" w:hanging="360"/>
      </w:pPr>
    </w:lvl>
    <w:lvl w:ilvl="2" w:tplc="041B001B" w:tentative="1">
      <w:start w:val="1"/>
      <w:numFmt w:val="lowerRoman"/>
      <w:lvlText w:val="%3."/>
      <w:lvlJc w:val="right"/>
      <w:pPr>
        <w:ind w:left="3438" w:hanging="180"/>
      </w:pPr>
    </w:lvl>
    <w:lvl w:ilvl="3" w:tplc="041B000F" w:tentative="1">
      <w:start w:val="1"/>
      <w:numFmt w:val="decimal"/>
      <w:lvlText w:val="%4."/>
      <w:lvlJc w:val="left"/>
      <w:pPr>
        <w:ind w:left="4158" w:hanging="360"/>
      </w:pPr>
    </w:lvl>
    <w:lvl w:ilvl="4" w:tplc="041B0019" w:tentative="1">
      <w:start w:val="1"/>
      <w:numFmt w:val="lowerLetter"/>
      <w:lvlText w:val="%5."/>
      <w:lvlJc w:val="left"/>
      <w:pPr>
        <w:ind w:left="4878" w:hanging="360"/>
      </w:pPr>
    </w:lvl>
    <w:lvl w:ilvl="5" w:tplc="041B001B" w:tentative="1">
      <w:start w:val="1"/>
      <w:numFmt w:val="lowerRoman"/>
      <w:lvlText w:val="%6."/>
      <w:lvlJc w:val="right"/>
      <w:pPr>
        <w:ind w:left="5598" w:hanging="180"/>
      </w:pPr>
    </w:lvl>
    <w:lvl w:ilvl="6" w:tplc="041B000F" w:tentative="1">
      <w:start w:val="1"/>
      <w:numFmt w:val="decimal"/>
      <w:lvlText w:val="%7."/>
      <w:lvlJc w:val="left"/>
      <w:pPr>
        <w:ind w:left="6318" w:hanging="360"/>
      </w:pPr>
    </w:lvl>
    <w:lvl w:ilvl="7" w:tplc="041B0019" w:tentative="1">
      <w:start w:val="1"/>
      <w:numFmt w:val="lowerLetter"/>
      <w:lvlText w:val="%8."/>
      <w:lvlJc w:val="left"/>
      <w:pPr>
        <w:ind w:left="7038" w:hanging="360"/>
      </w:pPr>
    </w:lvl>
    <w:lvl w:ilvl="8" w:tplc="041B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26" w15:restartNumberingAfterBreak="0">
    <w:nsid w:val="540F11DB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7" w15:restartNumberingAfterBreak="0">
    <w:nsid w:val="582A0BC5"/>
    <w:multiLevelType w:val="hybridMultilevel"/>
    <w:tmpl w:val="6B668D04"/>
    <w:lvl w:ilvl="0" w:tplc="A586B182">
      <w:start w:val="1"/>
      <w:numFmt w:val="lowerLetter"/>
      <w:lvlText w:val="%1)"/>
      <w:lvlJc w:val="left"/>
      <w:pPr>
        <w:ind w:left="780" w:hanging="360"/>
      </w:pPr>
    </w:lvl>
    <w:lvl w:ilvl="1" w:tplc="A586B182">
      <w:start w:val="1"/>
      <w:numFmt w:val="lowerLetter"/>
      <w:lvlText w:val="%2."/>
      <w:lvlJc w:val="left"/>
      <w:pPr>
        <w:ind w:left="1500" w:hanging="360"/>
      </w:pPr>
    </w:lvl>
    <w:lvl w:ilvl="2" w:tplc="041B0005" w:tentative="1">
      <w:start w:val="1"/>
      <w:numFmt w:val="lowerRoman"/>
      <w:lvlText w:val="%3."/>
      <w:lvlJc w:val="right"/>
      <w:pPr>
        <w:ind w:left="2220" w:hanging="180"/>
      </w:pPr>
    </w:lvl>
    <w:lvl w:ilvl="3" w:tplc="041B0001" w:tentative="1">
      <w:start w:val="1"/>
      <w:numFmt w:val="decimal"/>
      <w:lvlText w:val="%4."/>
      <w:lvlJc w:val="left"/>
      <w:pPr>
        <w:ind w:left="2940" w:hanging="360"/>
      </w:pPr>
    </w:lvl>
    <w:lvl w:ilvl="4" w:tplc="041B0003" w:tentative="1">
      <w:start w:val="1"/>
      <w:numFmt w:val="lowerLetter"/>
      <w:lvlText w:val="%5."/>
      <w:lvlJc w:val="left"/>
      <w:pPr>
        <w:ind w:left="3660" w:hanging="360"/>
      </w:pPr>
    </w:lvl>
    <w:lvl w:ilvl="5" w:tplc="041B0005" w:tentative="1">
      <w:start w:val="1"/>
      <w:numFmt w:val="lowerRoman"/>
      <w:lvlText w:val="%6."/>
      <w:lvlJc w:val="right"/>
      <w:pPr>
        <w:ind w:left="4380" w:hanging="180"/>
      </w:pPr>
    </w:lvl>
    <w:lvl w:ilvl="6" w:tplc="041B0001" w:tentative="1">
      <w:start w:val="1"/>
      <w:numFmt w:val="decimal"/>
      <w:lvlText w:val="%7."/>
      <w:lvlJc w:val="left"/>
      <w:pPr>
        <w:ind w:left="5100" w:hanging="360"/>
      </w:pPr>
    </w:lvl>
    <w:lvl w:ilvl="7" w:tplc="041B0003" w:tentative="1">
      <w:start w:val="1"/>
      <w:numFmt w:val="lowerLetter"/>
      <w:lvlText w:val="%8."/>
      <w:lvlJc w:val="left"/>
      <w:pPr>
        <w:ind w:left="5820" w:hanging="360"/>
      </w:pPr>
    </w:lvl>
    <w:lvl w:ilvl="8" w:tplc="041B0005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5DE67B11"/>
    <w:multiLevelType w:val="hybridMultilevel"/>
    <w:tmpl w:val="9DF8E2C2"/>
    <w:lvl w:ilvl="0" w:tplc="59BE2EAC">
      <w:start w:val="1"/>
      <w:numFmt w:val="bullet"/>
      <w:lvlText w:val="-"/>
      <w:lvlJc w:val="left"/>
      <w:pPr>
        <w:ind w:left="1353" w:hanging="360"/>
      </w:pPr>
      <w:rPr>
        <w:rFonts w:ascii="Sylfaen" w:hAnsi="Sylfaen"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9" w15:restartNumberingAfterBreak="0">
    <w:nsid w:val="65BF2914"/>
    <w:multiLevelType w:val="multilevel"/>
    <w:tmpl w:val="5B02D6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 w15:restartNumberingAfterBreak="0">
    <w:nsid w:val="67E507DC"/>
    <w:multiLevelType w:val="multilevel"/>
    <w:tmpl w:val="6E9E2514"/>
    <w:styleLink w:val="WWNum17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4745E88"/>
    <w:multiLevelType w:val="multilevel"/>
    <w:tmpl w:val="88E42B16"/>
    <w:lvl w:ilvl="0">
      <w:start w:val="1"/>
      <w:numFmt w:val="upperLetter"/>
      <w:lvlText w:val="%1)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D01174"/>
    <w:multiLevelType w:val="hybridMultilevel"/>
    <w:tmpl w:val="42868772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D160ED2"/>
    <w:multiLevelType w:val="hybridMultilevel"/>
    <w:tmpl w:val="DD0CD4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7"/>
  </w:num>
  <w:num w:numId="2">
    <w:abstractNumId w:val="4"/>
  </w:num>
  <w:num w:numId="3">
    <w:abstractNumId w:val="8"/>
  </w:num>
  <w:num w:numId="4">
    <w:abstractNumId w:val="16"/>
  </w:num>
  <w:num w:numId="5">
    <w:abstractNumId w:val="14"/>
  </w:num>
  <w:num w:numId="6">
    <w:abstractNumId w:val="15"/>
  </w:num>
  <w:num w:numId="7">
    <w:abstractNumId w:val="21"/>
  </w:num>
  <w:num w:numId="8">
    <w:abstractNumId w:val="6"/>
  </w:num>
  <w:num w:numId="9">
    <w:abstractNumId w:val="9"/>
  </w:num>
  <w:num w:numId="10">
    <w:abstractNumId w:val="19"/>
  </w:num>
  <w:num w:numId="11">
    <w:abstractNumId w:val="17"/>
  </w:num>
  <w:num w:numId="12">
    <w:abstractNumId w:val="18"/>
  </w:num>
  <w:num w:numId="13">
    <w:abstractNumId w:val="22"/>
  </w:num>
  <w:num w:numId="14">
    <w:abstractNumId w:val="11"/>
  </w:num>
  <w:num w:numId="15">
    <w:abstractNumId w:val="33"/>
  </w:num>
  <w:num w:numId="16">
    <w:abstractNumId w:val="10"/>
  </w:num>
  <w:num w:numId="17">
    <w:abstractNumId w:val="12"/>
  </w:num>
  <w:num w:numId="18">
    <w:abstractNumId w:val="5"/>
  </w:num>
  <w:num w:numId="19">
    <w:abstractNumId w:val="32"/>
  </w:num>
  <w:num w:numId="20">
    <w:abstractNumId w:val="28"/>
  </w:num>
  <w:num w:numId="21">
    <w:abstractNumId w:val="26"/>
  </w:num>
  <w:num w:numId="22">
    <w:abstractNumId w:val="3"/>
  </w:num>
  <w:num w:numId="23">
    <w:abstractNumId w:val="7"/>
  </w:num>
  <w:num w:numId="24">
    <w:abstractNumId w:val="2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alibri" w:hAnsi="Calibri" w:cs="Times New Roman"/>
          <w:b/>
          <w:i/>
          <w:sz w:val="22"/>
          <w:szCs w:val="22"/>
        </w:rPr>
      </w:lvl>
    </w:lvlOverride>
  </w:num>
  <w:num w:numId="25">
    <w:abstractNumId w:val="30"/>
  </w:num>
  <w:num w:numId="26">
    <w:abstractNumId w:val="31"/>
  </w:num>
  <w:num w:numId="27">
    <w:abstractNumId w:val="30"/>
    <w:lvlOverride w:ilvl="0">
      <w:startOverride w:val="1"/>
    </w:lvlOverride>
  </w:num>
  <w:num w:numId="28">
    <w:abstractNumId w:val="13"/>
  </w:num>
  <w:num w:numId="29">
    <w:abstractNumId w:val="29"/>
  </w:num>
  <w:num w:numId="30">
    <w:abstractNumId w:val="20"/>
  </w:num>
  <w:num w:numId="31">
    <w:abstractNumId w:val="23"/>
  </w:num>
  <w:num w:numId="32">
    <w:abstractNumId w:val="2"/>
  </w:num>
  <w:num w:numId="33">
    <w:abstractNumId w:val="25"/>
  </w:num>
  <w:num w:numId="34">
    <w:abstractNumId w:val="2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A7"/>
    <w:rsid w:val="00000A64"/>
    <w:rsid w:val="00003EE0"/>
    <w:rsid w:val="00005D54"/>
    <w:rsid w:val="000211F7"/>
    <w:rsid w:val="000230F6"/>
    <w:rsid w:val="000248C8"/>
    <w:rsid w:val="00025328"/>
    <w:rsid w:val="00025C75"/>
    <w:rsid w:val="00026D26"/>
    <w:rsid w:val="00033A52"/>
    <w:rsid w:val="00034D87"/>
    <w:rsid w:val="0003555E"/>
    <w:rsid w:val="0004025E"/>
    <w:rsid w:val="0004275D"/>
    <w:rsid w:val="00042F53"/>
    <w:rsid w:val="00047C3B"/>
    <w:rsid w:val="00055F47"/>
    <w:rsid w:val="00056A29"/>
    <w:rsid w:val="00060A6C"/>
    <w:rsid w:val="00070161"/>
    <w:rsid w:val="000731FF"/>
    <w:rsid w:val="0007443A"/>
    <w:rsid w:val="00075B8D"/>
    <w:rsid w:val="00077C67"/>
    <w:rsid w:val="00082447"/>
    <w:rsid w:val="00083905"/>
    <w:rsid w:val="00083A5E"/>
    <w:rsid w:val="00086F55"/>
    <w:rsid w:val="000875F9"/>
    <w:rsid w:val="00087B0B"/>
    <w:rsid w:val="0009268E"/>
    <w:rsid w:val="00094D9C"/>
    <w:rsid w:val="0009728C"/>
    <w:rsid w:val="000A061D"/>
    <w:rsid w:val="000A37A9"/>
    <w:rsid w:val="000A6554"/>
    <w:rsid w:val="000C0903"/>
    <w:rsid w:val="000C1931"/>
    <w:rsid w:val="000C1FD2"/>
    <w:rsid w:val="000C3238"/>
    <w:rsid w:val="000C475C"/>
    <w:rsid w:val="000C5D0E"/>
    <w:rsid w:val="000C71BB"/>
    <w:rsid w:val="000D3273"/>
    <w:rsid w:val="000D53A7"/>
    <w:rsid w:val="000D5B8F"/>
    <w:rsid w:val="000E02CA"/>
    <w:rsid w:val="000E05F1"/>
    <w:rsid w:val="000E4142"/>
    <w:rsid w:val="000E4AE6"/>
    <w:rsid w:val="000E5DDB"/>
    <w:rsid w:val="000F3990"/>
    <w:rsid w:val="000F5207"/>
    <w:rsid w:val="00103AFD"/>
    <w:rsid w:val="0010522F"/>
    <w:rsid w:val="001106AF"/>
    <w:rsid w:val="00111641"/>
    <w:rsid w:val="00112CC9"/>
    <w:rsid w:val="00115813"/>
    <w:rsid w:val="00120EAB"/>
    <w:rsid w:val="0012252B"/>
    <w:rsid w:val="00127589"/>
    <w:rsid w:val="00131644"/>
    <w:rsid w:val="001375BA"/>
    <w:rsid w:val="001414CC"/>
    <w:rsid w:val="0014442D"/>
    <w:rsid w:val="00146442"/>
    <w:rsid w:val="00150EBC"/>
    <w:rsid w:val="00154CA9"/>
    <w:rsid w:val="00156D53"/>
    <w:rsid w:val="00166BE7"/>
    <w:rsid w:val="00167429"/>
    <w:rsid w:val="00171073"/>
    <w:rsid w:val="0017227F"/>
    <w:rsid w:val="00172FD3"/>
    <w:rsid w:val="001736E3"/>
    <w:rsid w:val="00174146"/>
    <w:rsid w:val="001853BE"/>
    <w:rsid w:val="001870D2"/>
    <w:rsid w:val="0019009C"/>
    <w:rsid w:val="00190FAE"/>
    <w:rsid w:val="00192C2C"/>
    <w:rsid w:val="0019651C"/>
    <w:rsid w:val="001A1E3F"/>
    <w:rsid w:val="001A2AF7"/>
    <w:rsid w:val="001A3D56"/>
    <w:rsid w:val="001A6EEE"/>
    <w:rsid w:val="001A76FF"/>
    <w:rsid w:val="001B0519"/>
    <w:rsid w:val="001C2AA2"/>
    <w:rsid w:val="001C31AA"/>
    <w:rsid w:val="001C79EE"/>
    <w:rsid w:val="001D0109"/>
    <w:rsid w:val="001D0428"/>
    <w:rsid w:val="001D59F4"/>
    <w:rsid w:val="001D5C1B"/>
    <w:rsid w:val="001D6E4B"/>
    <w:rsid w:val="001E50D9"/>
    <w:rsid w:val="001F69B0"/>
    <w:rsid w:val="00203F14"/>
    <w:rsid w:val="00206E55"/>
    <w:rsid w:val="00207A54"/>
    <w:rsid w:val="002107D6"/>
    <w:rsid w:val="00210A4C"/>
    <w:rsid w:val="002128B2"/>
    <w:rsid w:val="00212E81"/>
    <w:rsid w:val="00214230"/>
    <w:rsid w:val="00220E5D"/>
    <w:rsid w:val="00222116"/>
    <w:rsid w:val="002236E0"/>
    <w:rsid w:val="0022670C"/>
    <w:rsid w:val="00226CE1"/>
    <w:rsid w:val="00226FC8"/>
    <w:rsid w:val="002310AA"/>
    <w:rsid w:val="00231946"/>
    <w:rsid w:val="00234BC7"/>
    <w:rsid w:val="002369DD"/>
    <w:rsid w:val="00245EAE"/>
    <w:rsid w:val="00250A57"/>
    <w:rsid w:val="00253B2E"/>
    <w:rsid w:val="00255037"/>
    <w:rsid w:val="00256AA0"/>
    <w:rsid w:val="0026052B"/>
    <w:rsid w:val="0026251E"/>
    <w:rsid w:val="0027180D"/>
    <w:rsid w:val="00273261"/>
    <w:rsid w:val="00273AEB"/>
    <w:rsid w:val="002761D1"/>
    <w:rsid w:val="00281076"/>
    <w:rsid w:val="0028115D"/>
    <w:rsid w:val="00282E51"/>
    <w:rsid w:val="00285683"/>
    <w:rsid w:val="002903C1"/>
    <w:rsid w:val="00290B6F"/>
    <w:rsid w:val="00291889"/>
    <w:rsid w:val="0029357D"/>
    <w:rsid w:val="0029697F"/>
    <w:rsid w:val="002A0671"/>
    <w:rsid w:val="002A2CA6"/>
    <w:rsid w:val="002B3A4E"/>
    <w:rsid w:val="002B64E0"/>
    <w:rsid w:val="002C1B9F"/>
    <w:rsid w:val="002C27CB"/>
    <w:rsid w:val="002C3D7C"/>
    <w:rsid w:val="002D07CC"/>
    <w:rsid w:val="002D38E6"/>
    <w:rsid w:val="002E1864"/>
    <w:rsid w:val="002E3483"/>
    <w:rsid w:val="002E6DC9"/>
    <w:rsid w:val="0030766A"/>
    <w:rsid w:val="00316009"/>
    <w:rsid w:val="00316B55"/>
    <w:rsid w:val="00326744"/>
    <w:rsid w:val="00326F9E"/>
    <w:rsid w:val="00327FBA"/>
    <w:rsid w:val="00332681"/>
    <w:rsid w:val="00332BB6"/>
    <w:rsid w:val="00337A37"/>
    <w:rsid w:val="00340037"/>
    <w:rsid w:val="003406C1"/>
    <w:rsid w:val="003610CD"/>
    <w:rsid w:val="00366E4A"/>
    <w:rsid w:val="00372FA3"/>
    <w:rsid w:val="00380BB7"/>
    <w:rsid w:val="0038265D"/>
    <w:rsid w:val="003826DA"/>
    <w:rsid w:val="003854F4"/>
    <w:rsid w:val="00385AFA"/>
    <w:rsid w:val="003861FD"/>
    <w:rsid w:val="003864D4"/>
    <w:rsid w:val="00391EB9"/>
    <w:rsid w:val="00392FA6"/>
    <w:rsid w:val="00396149"/>
    <w:rsid w:val="003978A1"/>
    <w:rsid w:val="003A45AC"/>
    <w:rsid w:val="003A6B8C"/>
    <w:rsid w:val="003B5FA6"/>
    <w:rsid w:val="003C0BD8"/>
    <w:rsid w:val="003C0C94"/>
    <w:rsid w:val="003C2BE1"/>
    <w:rsid w:val="003C3C4B"/>
    <w:rsid w:val="003C71A0"/>
    <w:rsid w:val="003D5C9D"/>
    <w:rsid w:val="003E0582"/>
    <w:rsid w:val="003E1980"/>
    <w:rsid w:val="003E2A8A"/>
    <w:rsid w:val="003E35F4"/>
    <w:rsid w:val="003E561D"/>
    <w:rsid w:val="003E66E2"/>
    <w:rsid w:val="003E6FA4"/>
    <w:rsid w:val="003E73AC"/>
    <w:rsid w:val="003F0570"/>
    <w:rsid w:val="003F0884"/>
    <w:rsid w:val="003F0F98"/>
    <w:rsid w:val="003F210A"/>
    <w:rsid w:val="003F357D"/>
    <w:rsid w:val="00402D09"/>
    <w:rsid w:val="00403283"/>
    <w:rsid w:val="00406443"/>
    <w:rsid w:val="004070A5"/>
    <w:rsid w:val="00412A0A"/>
    <w:rsid w:val="00421854"/>
    <w:rsid w:val="00425D94"/>
    <w:rsid w:val="00433E27"/>
    <w:rsid w:val="0044203D"/>
    <w:rsid w:val="004421AD"/>
    <w:rsid w:val="004457A3"/>
    <w:rsid w:val="004459C3"/>
    <w:rsid w:val="00452A68"/>
    <w:rsid w:val="004573F5"/>
    <w:rsid w:val="00464959"/>
    <w:rsid w:val="00464EE2"/>
    <w:rsid w:val="00471C9F"/>
    <w:rsid w:val="004741D1"/>
    <w:rsid w:val="00477A2D"/>
    <w:rsid w:val="00482B4B"/>
    <w:rsid w:val="00486E7E"/>
    <w:rsid w:val="0048706B"/>
    <w:rsid w:val="00487BFA"/>
    <w:rsid w:val="004925B8"/>
    <w:rsid w:val="004938EF"/>
    <w:rsid w:val="00495104"/>
    <w:rsid w:val="0049651B"/>
    <w:rsid w:val="004973B4"/>
    <w:rsid w:val="004975D5"/>
    <w:rsid w:val="004A1B03"/>
    <w:rsid w:val="004A1DE9"/>
    <w:rsid w:val="004A45B9"/>
    <w:rsid w:val="004B20D4"/>
    <w:rsid w:val="004B5DFB"/>
    <w:rsid w:val="004C036F"/>
    <w:rsid w:val="004C2B67"/>
    <w:rsid w:val="004C3CAA"/>
    <w:rsid w:val="004C48C7"/>
    <w:rsid w:val="004C4DAE"/>
    <w:rsid w:val="004D0259"/>
    <w:rsid w:val="004D2796"/>
    <w:rsid w:val="004D30AA"/>
    <w:rsid w:val="004D38B7"/>
    <w:rsid w:val="004D79D1"/>
    <w:rsid w:val="004E5AB5"/>
    <w:rsid w:val="004E6758"/>
    <w:rsid w:val="004E7C9C"/>
    <w:rsid w:val="004F51FC"/>
    <w:rsid w:val="004F58DF"/>
    <w:rsid w:val="004F5C85"/>
    <w:rsid w:val="005008FB"/>
    <w:rsid w:val="00501338"/>
    <w:rsid w:val="00507975"/>
    <w:rsid w:val="00511203"/>
    <w:rsid w:val="005163BF"/>
    <w:rsid w:val="005241C4"/>
    <w:rsid w:val="005263A7"/>
    <w:rsid w:val="005309E9"/>
    <w:rsid w:val="005317DC"/>
    <w:rsid w:val="00536FF3"/>
    <w:rsid w:val="0053736E"/>
    <w:rsid w:val="00540249"/>
    <w:rsid w:val="005438A5"/>
    <w:rsid w:val="00545C3E"/>
    <w:rsid w:val="005471C5"/>
    <w:rsid w:val="0056193C"/>
    <w:rsid w:val="00561D53"/>
    <w:rsid w:val="005638B3"/>
    <w:rsid w:val="00574EF3"/>
    <w:rsid w:val="0058562C"/>
    <w:rsid w:val="00597385"/>
    <w:rsid w:val="005A283A"/>
    <w:rsid w:val="005A421A"/>
    <w:rsid w:val="005A6F83"/>
    <w:rsid w:val="005B0D4C"/>
    <w:rsid w:val="005B2B79"/>
    <w:rsid w:val="005B314F"/>
    <w:rsid w:val="005B4193"/>
    <w:rsid w:val="005B6032"/>
    <w:rsid w:val="005C441C"/>
    <w:rsid w:val="005C4C26"/>
    <w:rsid w:val="005C4D1D"/>
    <w:rsid w:val="005C750A"/>
    <w:rsid w:val="005D2219"/>
    <w:rsid w:val="005D328A"/>
    <w:rsid w:val="005E720E"/>
    <w:rsid w:val="005F6F73"/>
    <w:rsid w:val="00603566"/>
    <w:rsid w:val="00605913"/>
    <w:rsid w:val="00605A90"/>
    <w:rsid w:val="00612137"/>
    <w:rsid w:val="0062120E"/>
    <w:rsid w:val="006212E4"/>
    <w:rsid w:val="00622C0E"/>
    <w:rsid w:val="006237A3"/>
    <w:rsid w:val="00631759"/>
    <w:rsid w:val="0063639B"/>
    <w:rsid w:val="00642680"/>
    <w:rsid w:val="00642774"/>
    <w:rsid w:val="00642C17"/>
    <w:rsid w:val="00643979"/>
    <w:rsid w:val="006444A3"/>
    <w:rsid w:val="00646FFF"/>
    <w:rsid w:val="00650A79"/>
    <w:rsid w:val="00652749"/>
    <w:rsid w:val="00652DE8"/>
    <w:rsid w:val="00661877"/>
    <w:rsid w:val="00666768"/>
    <w:rsid w:val="00667422"/>
    <w:rsid w:val="00680043"/>
    <w:rsid w:val="00685ADC"/>
    <w:rsid w:val="006A0843"/>
    <w:rsid w:val="006A20B1"/>
    <w:rsid w:val="006A2E02"/>
    <w:rsid w:val="006B1AFB"/>
    <w:rsid w:val="006C02D2"/>
    <w:rsid w:val="006C1790"/>
    <w:rsid w:val="006C22C6"/>
    <w:rsid w:val="006C469C"/>
    <w:rsid w:val="006C4BAC"/>
    <w:rsid w:val="006C5C4B"/>
    <w:rsid w:val="006C7D01"/>
    <w:rsid w:val="006D1ED0"/>
    <w:rsid w:val="006D4E78"/>
    <w:rsid w:val="006D523D"/>
    <w:rsid w:val="006E0800"/>
    <w:rsid w:val="006F0F6C"/>
    <w:rsid w:val="007018A1"/>
    <w:rsid w:val="007028D4"/>
    <w:rsid w:val="00711944"/>
    <w:rsid w:val="00712F9D"/>
    <w:rsid w:val="00715064"/>
    <w:rsid w:val="00716C60"/>
    <w:rsid w:val="00721773"/>
    <w:rsid w:val="00731C9C"/>
    <w:rsid w:val="00733343"/>
    <w:rsid w:val="007350B8"/>
    <w:rsid w:val="00735B54"/>
    <w:rsid w:val="00736EA7"/>
    <w:rsid w:val="0073795B"/>
    <w:rsid w:val="007410F2"/>
    <w:rsid w:val="00742523"/>
    <w:rsid w:val="00742CE4"/>
    <w:rsid w:val="00742DE0"/>
    <w:rsid w:val="007444CB"/>
    <w:rsid w:val="00746940"/>
    <w:rsid w:val="007519CE"/>
    <w:rsid w:val="00753D51"/>
    <w:rsid w:val="00763D21"/>
    <w:rsid w:val="00763ED5"/>
    <w:rsid w:val="00763F4B"/>
    <w:rsid w:val="00765D8C"/>
    <w:rsid w:val="00766EA0"/>
    <w:rsid w:val="00776934"/>
    <w:rsid w:val="00781973"/>
    <w:rsid w:val="00784C46"/>
    <w:rsid w:val="00785AE9"/>
    <w:rsid w:val="0078710A"/>
    <w:rsid w:val="00793320"/>
    <w:rsid w:val="00797F8A"/>
    <w:rsid w:val="007A463E"/>
    <w:rsid w:val="007A5207"/>
    <w:rsid w:val="007B3741"/>
    <w:rsid w:val="007B5906"/>
    <w:rsid w:val="007B663E"/>
    <w:rsid w:val="007B6B23"/>
    <w:rsid w:val="007C6460"/>
    <w:rsid w:val="007D25CE"/>
    <w:rsid w:val="007D4D51"/>
    <w:rsid w:val="007E11EE"/>
    <w:rsid w:val="007E374B"/>
    <w:rsid w:val="007E6517"/>
    <w:rsid w:val="007F3E55"/>
    <w:rsid w:val="00801EBB"/>
    <w:rsid w:val="00810B63"/>
    <w:rsid w:val="00812C96"/>
    <w:rsid w:val="0081321D"/>
    <w:rsid w:val="00820E61"/>
    <w:rsid w:val="008226D0"/>
    <w:rsid w:val="00823A33"/>
    <w:rsid w:val="00835213"/>
    <w:rsid w:val="00835B2F"/>
    <w:rsid w:val="0083755B"/>
    <w:rsid w:val="00837E52"/>
    <w:rsid w:val="00843BFB"/>
    <w:rsid w:val="00845E82"/>
    <w:rsid w:val="0085074B"/>
    <w:rsid w:val="008535DC"/>
    <w:rsid w:val="00853897"/>
    <w:rsid w:val="00854EF1"/>
    <w:rsid w:val="00860F36"/>
    <w:rsid w:val="00861AA7"/>
    <w:rsid w:val="0086301D"/>
    <w:rsid w:val="00863553"/>
    <w:rsid w:val="00864EBC"/>
    <w:rsid w:val="008663ED"/>
    <w:rsid w:val="00870241"/>
    <w:rsid w:val="00872336"/>
    <w:rsid w:val="00880AB0"/>
    <w:rsid w:val="00886CD3"/>
    <w:rsid w:val="00893FD7"/>
    <w:rsid w:val="00894FD7"/>
    <w:rsid w:val="008A2320"/>
    <w:rsid w:val="008A6A90"/>
    <w:rsid w:val="008B326C"/>
    <w:rsid w:val="008B3615"/>
    <w:rsid w:val="008B3D6D"/>
    <w:rsid w:val="008C06CA"/>
    <w:rsid w:val="008C376D"/>
    <w:rsid w:val="008C3D1B"/>
    <w:rsid w:val="008C4577"/>
    <w:rsid w:val="008C70E9"/>
    <w:rsid w:val="008D0050"/>
    <w:rsid w:val="008D24D8"/>
    <w:rsid w:val="008D7966"/>
    <w:rsid w:val="008D7B5E"/>
    <w:rsid w:val="008E3CFA"/>
    <w:rsid w:val="008F49AC"/>
    <w:rsid w:val="008F4A3B"/>
    <w:rsid w:val="00910E99"/>
    <w:rsid w:val="009172EC"/>
    <w:rsid w:val="00920128"/>
    <w:rsid w:val="00922BF2"/>
    <w:rsid w:val="00922CD9"/>
    <w:rsid w:val="009237D4"/>
    <w:rsid w:val="00923FD6"/>
    <w:rsid w:val="00925925"/>
    <w:rsid w:val="00927DAE"/>
    <w:rsid w:val="009308C1"/>
    <w:rsid w:val="0093129B"/>
    <w:rsid w:val="00932726"/>
    <w:rsid w:val="00937ED7"/>
    <w:rsid w:val="00940BD0"/>
    <w:rsid w:val="00942B08"/>
    <w:rsid w:val="009437F1"/>
    <w:rsid w:val="00943B4B"/>
    <w:rsid w:val="00950D63"/>
    <w:rsid w:val="0095526C"/>
    <w:rsid w:val="00957A9A"/>
    <w:rsid w:val="00961E28"/>
    <w:rsid w:val="0096707F"/>
    <w:rsid w:val="00967DB5"/>
    <w:rsid w:val="009771E3"/>
    <w:rsid w:val="009773AE"/>
    <w:rsid w:val="0098251B"/>
    <w:rsid w:val="00982629"/>
    <w:rsid w:val="0098589E"/>
    <w:rsid w:val="009858C3"/>
    <w:rsid w:val="00992046"/>
    <w:rsid w:val="00993E60"/>
    <w:rsid w:val="00994B38"/>
    <w:rsid w:val="009A2FD5"/>
    <w:rsid w:val="009A357D"/>
    <w:rsid w:val="009A59EF"/>
    <w:rsid w:val="009A6B58"/>
    <w:rsid w:val="009B4607"/>
    <w:rsid w:val="009B4633"/>
    <w:rsid w:val="009B79A7"/>
    <w:rsid w:val="009C1B54"/>
    <w:rsid w:val="009C1DD1"/>
    <w:rsid w:val="009C275C"/>
    <w:rsid w:val="009C3DBB"/>
    <w:rsid w:val="009D72AD"/>
    <w:rsid w:val="009E002A"/>
    <w:rsid w:val="009E05AB"/>
    <w:rsid w:val="009E62C2"/>
    <w:rsid w:val="009E78DA"/>
    <w:rsid w:val="009F10BC"/>
    <w:rsid w:val="009F34B0"/>
    <w:rsid w:val="009F6229"/>
    <w:rsid w:val="00A00846"/>
    <w:rsid w:val="00A009FA"/>
    <w:rsid w:val="00A034C6"/>
    <w:rsid w:val="00A03C93"/>
    <w:rsid w:val="00A040D0"/>
    <w:rsid w:val="00A06591"/>
    <w:rsid w:val="00A073FC"/>
    <w:rsid w:val="00A07ADA"/>
    <w:rsid w:val="00A1311C"/>
    <w:rsid w:val="00A13ADC"/>
    <w:rsid w:val="00A21FC7"/>
    <w:rsid w:val="00A24579"/>
    <w:rsid w:val="00A375FE"/>
    <w:rsid w:val="00A4013C"/>
    <w:rsid w:val="00A52B0D"/>
    <w:rsid w:val="00A535D4"/>
    <w:rsid w:val="00A60ED6"/>
    <w:rsid w:val="00A635E4"/>
    <w:rsid w:val="00A64822"/>
    <w:rsid w:val="00A657F2"/>
    <w:rsid w:val="00A67FEC"/>
    <w:rsid w:val="00A7693D"/>
    <w:rsid w:val="00A807A5"/>
    <w:rsid w:val="00A82100"/>
    <w:rsid w:val="00A86D81"/>
    <w:rsid w:val="00A9688C"/>
    <w:rsid w:val="00AA13F3"/>
    <w:rsid w:val="00AA1B65"/>
    <w:rsid w:val="00AA20A2"/>
    <w:rsid w:val="00AB37BB"/>
    <w:rsid w:val="00AB6131"/>
    <w:rsid w:val="00AC4E49"/>
    <w:rsid w:val="00AC6045"/>
    <w:rsid w:val="00AC65BB"/>
    <w:rsid w:val="00AD005B"/>
    <w:rsid w:val="00AD14DA"/>
    <w:rsid w:val="00AD2183"/>
    <w:rsid w:val="00AD3FCD"/>
    <w:rsid w:val="00AD65A9"/>
    <w:rsid w:val="00AE325C"/>
    <w:rsid w:val="00AE32CD"/>
    <w:rsid w:val="00AE3D0A"/>
    <w:rsid w:val="00AE4B88"/>
    <w:rsid w:val="00AF01CF"/>
    <w:rsid w:val="00AF0BE6"/>
    <w:rsid w:val="00AF1C49"/>
    <w:rsid w:val="00AF45A9"/>
    <w:rsid w:val="00AF4957"/>
    <w:rsid w:val="00AF62B6"/>
    <w:rsid w:val="00B01D64"/>
    <w:rsid w:val="00B0244F"/>
    <w:rsid w:val="00B0736E"/>
    <w:rsid w:val="00B13ADD"/>
    <w:rsid w:val="00B20AA9"/>
    <w:rsid w:val="00B2484A"/>
    <w:rsid w:val="00B25040"/>
    <w:rsid w:val="00B32AD6"/>
    <w:rsid w:val="00B408D2"/>
    <w:rsid w:val="00B51309"/>
    <w:rsid w:val="00B51E90"/>
    <w:rsid w:val="00B5360B"/>
    <w:rsid w:val="00B53DCA"/>
    <w:rsid w:val="00B55AB3"/>
    <w:rsid w:val="00B6172F"/>
    <w:rsid w:val="00B6226A"/>
    <w:rsid w:val="00B62310"/>
    <w:rsid w:val="00B63466"/>
    <w:rsid w:val="00B636F7"/>
    <w:rsid w:val="00B637F6"/>
    <w:rsid w:val="00B64220"/>
    <w:rsid w:val="00B645EF"/>
    <w:rsid w:val="00B70894"/>
    <w:rsid w:val="00B745FE"/>
    <w:rsid w:val="00B76EE2"/>
    <w:rsid w:val="00B7767C"/>
    <w:rsid w:val="00B77A84"/>
    <w:rsid w:val="00B84CE1"/>
    <w:rsid w:val="00B84F5D"/>
    <w:rsid w:val="00B96097"/>
    <w:rsid w:val="00BB5682"/>
    <w:rsid w:val="00BB64CE"/>
    <w:rsid w:val="00BB799C"/>
    <w:rsid w:val="00BC00F7"/>
    <w:rsid w:val="00BC23D1"/>
    <w:rsid w:val="00BC631E"/>
    <w:rsid w:val="00BD3A60"/>
    <w:rsid w:val="00BD3C08"/>
    <w:rsid w:val="00BE0773"/>
    <w:rsid w:val="00BE5E8C"/>
    <w:rsid w:val="00BE6253"/>
    <w:rsid w:val="00BF0AF7"/>
    <w:rsid w:val="00C14651"/>
    <w:rsid w:val="00C231D6"/>
    <w:rsid w:val="00C2473F"/>
    <w:rsid w:val="00C27441"/>
    <w:rsid w:val="00C27B38"/>
    <w:rsid w:val="00C30F0B"/>
    <w:rsid w:val="00C3314D"/>
    <w:rsid w:val="00C33D93"/>
    <w:rsid w:val="00C34000"/>
    <w:rsid w:val="00C35C5B"/>
    <w:rsid w:val="00C36B5B"/>
    <w:rsid w:val="00C36BEC"/>
    <w:rsid w:val="00C422C7"/>
    <w:rsid w:val="00C422FA"/>
    <w:rsid w:val="00C46BC7"/>
    <w:rsid w:val="00C54D49"/>
    <w:rsid w:val="00C61AC3"/>
    <w:rsid w:val="00C627CB"/>
    <w:rsid w:val="00C6401D"/>
    <w:rsid w:val="00C700E0"/>
    <w:rsid w:val="00C711D2"/>
    <w:rsid w:val="00C72CEA"/>
    <w:rsid w:val="00C75C40"/>
    <w:rsid w:val="00C81EA1"/>
    <w:rsid w:val="00C82978"/>
    <w:rsid w:val="00C838E0"/>
    <w:rsid w:val="00C91B6F"/>
    <w:rsid w:val="00C92335"/>
    <w:rsid w:val="00C93FB4"/>
    <w:rsid w:val="00C9792B"/>
    <w:rsid w:val="00CA0734"/>
    <w:rsid w:val="00CA11B4"/>
    <w:rsid w:val="00CA395D"/>
    <w:rsid w:val="00CB70F5"/>
    <w:rsid w:val="00CB7400"/>
    <w:rsid w:val="00CC332F"/>
    <w:rsid w:val="00CD2111"/>
    <w:rsid w:val="00CD3394"/>
    <w:rsid w:val="00CD3A9C"/>
    <w:rsid w:val="00CE0405"/>
    <w:rsid w:val="00CE519D"/>
    <w:rsid w:val="00CF0BCA"/>
    <w:rsid w:val="00CF330B"/>
    <w:rsid w:val="00CF4E76"/>
    <w:rsid w:val="00CF5BAD"/>
    <w:rsid w:val="00CF6B6B"/>
    <w:rsid w:val="00D01F6F"/>
    <w:rsid w:val="00D071BB"/>
    <w:rsid w:val="00D10247"/>
    <w:rsid w:val="00D11479"/>
    <w:rsid w:val="00D17F05"/>
    <w:rsid w:val="00D22401"/>
    <w:rsid w:val="00D23DA6"/>
    <w:rsid w:val="00D27B1D"/>
    <w:rsid w:val="00D35F77"/>
    <w:rsid w:val="00D44ECD"/>
    <w:rsid w:val="00D45991"/>
    <w:rsid w:val="00D46684"/>
    <w:rsid w:val="00D50813"/>
    <w:rsid w:val="00D518FA"/>
    <w:rsid w:val="00D53A59"/>
    <w:rsid w:val="00D5466A"/>
    <w:rsid w:val="00D5489A"/>
    <w:rsid w:val="00D56502"/>
    <w:rsid w:val="00D56AF3"/>
    <w:rsid w:val="00D56CAB"/>
    <w:rsid w:val="00D6599C"/>
    <w:rsid w:val="00D71E7D"/>
    <w:rsid w:val="00D722AD"/>
    <w:rsid w:val="00D81A0F"/>
    <w:rsid w:val="00D838A3"/>
    <w:rsid w:val="00D83EFE"/>
    <w:rsid w:val="00D86EDF"/>
    <w:rsid w:val="00D947AE"/>
    <w:rsid w:val="00DA183B"/>
    <w:rsid w:val="00DA3C5E"/>
    <w:rsid w:val="00DA3CC4"/>
    <w:rsid w:val="00DA45FD"/>
    <w:rsid w:val="00DA5383"/>
    <w:rsid w:val="00DB1708"/>
    <w:rsid w:val="00DB3855"/>
    <w:rsid w:val="00DC5572"/>
    <w:rsid w:val="00DD5A0F"/>
    <w:rsid w:val="00DE1742"/>
    <w:rsid w:val="00DE6031"/>
    <w:rsid w:val="00DE797C"/>
    <w:rsid w:val="00DF5379"/>
    <w:rsid w:val="00DF671C"/>
    <w:rsid w:val="00DF7EA7"/>
    <w:rsid w:val="00E016B4"/>
    <w:rsid w:val="00E1304A"/>
    <w:rsid w:val="00E23A01"/>
    <w:rsid w:val="00E24011"/>
    <w:rsid w:val="00E32E8E"/>
    <w:rsid w:val="00E3385E"/>
    <w:rsid w:val="00E458B2"/>
    <w:rsid w:val="00E46F28"/>
    <w:rsid w:val="00E54F92"/>
    <w:rsid w:val="00E553BC"/>
    <w:rsid w:val="00E63E30"/>
    <w:rsid w:val="00E67772"/>
    <w:rsid w:val="00E80A62"/>
    <w:rsid w:val="00E84B9A"/>
    <w:rsid w:val="00E90757"/>
    <w:rsid w:val="00E93AF8"/>
    <w:rsid w:val="00E948A0"/>
    <w:rsid w:val="00E963C8"/>
    <w:rsid w:val="00EA3872"/>
    <w:rsid w:val="00EA40C3"/>
    <w:rsid w:val="00EA585D"/>
    <w:rsid w:val="00EA5E8D"/>
    <w:rsid w:val="00EA7BA4"/>
    <w:rsid w:val="00EB1F2C"/>
    <w:rsid w:val="00EB449A"/>
    <w:rsid w:val="00EC41B4"/>
    <w:rsid w:val="00EC563E"/>
    <w:rsid w:val="00EC61A2"/>
    <w:rsid w:val="00ED21BC"/>
    <w:rsid w:val="00EE1B7D"/>
    <w:rsid w:val="00EE340F"/>
    <w:rsid w:val="00EF1192"/>
    <w:rsid w:val="00EF45B7"/>
    <w:rsid w:val="00F02F9B"/>
    <w:rsid w:val="00F05F0B"/>
    <w:rsid w:val="00F063ED"/>
    <w:rsid w:val="00F10A6B"/>
    <w:rsid w:val="00F10E97"/>
    <w:rsid w:val="00F14ED5"/>
    <w:rsid w:val="00F174FB"/>
    <w:rsid w:val="00F24956"/>
    <w:rsid w:val="00F3299F"/>
    <w:rsid w:val="00F348B8"/>
    <w:rsid w:val="00F37A14"/>
    <w:rsid w:val="00F442F4"/>
    <w:rsid w:val="00F50228"/>
    <w:rsid w:val="00F537C7"/>
    <w:rsid w:val="00F57B1A"/>
    <w:rsid w:val="00F6092C"/>
    <w:rsid w:val="00F70489"/>
    <w:rsid w:val="00F706F2"/>
    <w:rsid w:val="00F72B9F"/>
    <w:rsid w:val="00F75D6E"/>
    <w:rsid w:val="00F76130"/>
    <w:rsid w:val="00F76A9A"/>
    <w:rsid w:val="00F77B08"/>
    <w:rsid w:val="00F834A4"/>
    <w:rsid w:val="00F83669"/>
    <w:rsid w:val="00F86123"/>
    <w:rsid w:val="00F920BC"/>
    <w:rsid w:val="00F92D94"/>
    <w:rsid w:val="00F944F3"/>
    <w:rsid w:val="00FA4AD3"/>
    <w:rsid w:val="00FB07E4"/>
    <w:rsid w:val="00FB28D6"/>
    <w:rsid w:val="00FB6CC3"/>
    <w:rsid w:val="00FB76FA"/>
    <w:rsid w:val="00FC134E"/>
    <w:rsid w:val="00FC2CDA"/>
    <w:rsid w:val="00FD0425"/>
    <w:rsid w:val="00FD0579"/>
    <w:rsid w:val="00FD2985"/>
    <w:rsid w:val="00FD6308"/>
    <w:rsid w:val="00FE06A7"/>
    <w:rsid w:val="00FE094E"/>
    <w:rsid w:val="00FE3DED"/>
    <w:rsid w:val="00FE3F63"/>
    <w:rsid w:val="00FF06CB"/>
    <w:rsid w:val="00FF0E23"/>
    <w:rsid w:val="00FF54B0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A2E0350"/>
  <w15:docId w15:val="{BEE36D14-0C04-49FF-9857-BE955DB97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A375FE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next w:val="Normlny"/>
    <w:link w:val="Nadpis1Char"/>
    <w:uiPriority w:val="9"/>
    <w:qFormat/>
    <w:rsid w:val="00086F55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sk-SK"/>
    </w:rPr>
  </w:style>
  <w:style w:type="paragraph" w:styleId="Nadpis2">
    <w:name w:val="heading 2"/>
    <w:basedOn w:val="Normlny"/>
    <w:next w:val="Normlny"/>
    <w:link w:val="Nadpis2Char"/>
    <w:unhideWhenUsed/>
    <w:qFormat/>
    <w:rsid w:val="00666768"/>
    <w:pPr>
      <w:keepNext/>
      <w:tabs>
        <w:tab w:val="left" w:pos="1260"/>
      </w:tabs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E06A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table" w:styleId="Mriekatabuky">
    <w:name w:val="Table Grid"/>
    <w:basedOn w:val="Normlnatabuka"/>
    <w:uiPriority w:val="59"/>
    <w:rsid w:val="00BD3A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rsid w:val="00BD3A6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cs-CZ" w:eastAsia="cs-CZ"/>
    </w:rPr>
  </w:style>
  <w:style w:type="character" w:customStyle="1" w:styleId="HlavikaChar">
    <w:name w:val="Hlavička Char"/>
    <w:basedOn w:val="Predvolenpsmoodseku"/>
    <w:link w:val="Hlavika"/>
    <w:rsid w:val="00BD3A6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ekzoznamu">
    <w:name w:val="List Paragraph"/>
    <w:aliases w:val="Bullet Number,List Paragraph1,lp1,lp11,List Paragraph11,Bullet 1,Use Case List Paragraph,Bullet List,FooterText,numbered,Paragraphe de liste1"/>
    <w:basedOn w:val="Normlny"/>
    <w:link w:val="OdsekzoznamuChar"/>
    <w:uiPriority w:val="34"/>
    <w:qFormat/>
    <w:rsid w:val="0053736E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EF45B7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801E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01EBB"/>
  </w:style>
  <w:style w:type="paragraph" w:styleId="Textbubliny">
    <w:name w:val="Balloon Text"/>
    <w:basedOn w:val="Normlny"/>
    <w:link w:val="TextbublinyChar"/>
    <w:uiPriority w:val="99"/>
    <w:semiHidden/>
    <w:unhideWhenUsed/>
    <w:rsid w:val="00FF7F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7F8B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210A4C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10A4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10A4C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10A4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10A4C"/>
    <w:rPr>
      <w:b/>
      <w:bCs/>
      <w:lang w:eastAsia="en-US"/>
    </w:rPr>
  </w:style>
  <w:style w:type="character" w:customStyle="1" w:styleId="Nadpis2Char">
    <w:name w:val="Nadpis 2 Char"/>
    <w:basedOn w:val="Predvolenpsmoodseku"/>
    <w:link w:val="Nadpis2"/>
    <w:rsid w:val="00666768"/>
    <w:rPr>
      <w:rFonts w:ascii="Times New Roman" w:eastAsia="Times New Roman" w:hAnsi="Times New Roman"/>
      <w:b/>
      <w:bCs/>
      <w:sz w:val="24"/>
      <w:szCs w:val="24"/>
      <w:lang w:eastAsia="cs-CZ"/>
    </w:rPr>
  </w:style>
  <w:style w:type="paragraph" w:customStyle="1" w:styleId="dka">
    <w:name w:val="Řádka"/>
    <w:rsid w:val="00666768"/>
    <w:pPr>
      <w:widowControl w:val="0"/>
      <w:autoSpaceDE w:val="0"/>
      <w:autoSpaceDN w:val="0"/>
      <w:adjustRightInd w:val="0"/>
    </w:pPr>
    <w:rPr>
      <w:rFonts w:ascii="TimesE" w:eastAsia="Times New Roman" w:hAnsi="TimesE"/>
      <w:color w:val="000000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666768"/>
    <w:rPr>
      <w:sz w:val="22"/>
      <w:szCs w:val="22"/>
      <w:lang w:eastAsia="en-US"/>
    </w:rPr>
  </w:style>
  <w:style w:type="paragraph" w:styleId="Zkladntext">
    <w:name w:val="Body Text"/>
    <w:basedOn w:val="Normlny"/>
    <w:link w:val="ZkladntextChar"/>
    <w:rsid w:val="00282E51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82E51"/>
    <w:rPr>
      <w:rFonts w:ascii="Times New Roman" w:eastAsia="Times New Roman" w:hAnsi="Times New Roman"/>
      <w:sz w:val="24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083905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083905"/>
    <w:rPr>
      <w:rFonts w:ascii="Tahoma" w:hAnsi="Tahoma" w:cs="Tahoma"/>
      <w:sz w:val="16"/>
      <w:szCs w:val="16"/>
      <w:lang w:eastAsia="en-US"/>
    </w:rPr>
  </w:style>
  <w:style w:type="character" w:customStyle="1" w:styleId="OdsekzoznamuChar">
    <w:name w:val="Odsek zoznamu Char"/>
    <w:aliases w:val="Bullet Number Char,List Paragraph1 Char,lp1 Char,lp11 Char,List Paragraph11 Char,Bullet 1 Char,Use Case List Paragraph Char,Bullet List Char,FooterText Char,numbered Char,Paragraphe de liste1 Char"/>
    <w:link w:val="Odsekzoznamu"/>
    <w:uiPriority w:val="34"/>
    <w:qFormat/>
    <w:rsid w:val="00FD2985"/>
    <w:rPr>
      <w:sz w:val="22"/>
      <w:szCs w:val="22"/>
      <w:lang w:eastAsia="en-US"/>
    </w:rPr>
  </w:style>
  <w:style w:type="paragraph" w:customStyle="1" w:styleId="Styl1">
    <w:name w:val="Styl1"/>
    <w:basedOn w:val="Normlny"/>
    <w:rsid w:val="00652DE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086F5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1a2">
    <w:name w:val="h1a2"/>
    <w:basedOn w:val="Predvolenpsmoodseku"/>
    <w:rsid w:val="00174146"/>
    <w:rPr>
      <w:vanish w:val="0"/>
      <w:webHidden w:val="0"/>
      <w:sz w:val="24"/>
      <w:szCs w:val="24"/>
      <w:specVanish w:val="0"/>
    </w:rPr>
  </w:style>
  <w:style w:type="paragraph" w:customStyle="1" w:styleId="Standard">
    <w:name w:val="Standard"/>
    <w:rsid w:val="00190FAE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numbering" w:customStyle="1" w:styleId="WW8Num8">
    <w:name w:val="WW8Num8"/>
    <w:basedOn w:val="Bezzoznamu"/>
    <w:rsid w:val="00190FAE"/>
    <w:pPr>
      <w:numPr>
        <w:numId w:val="31"/>
      </w:numPr>
    </w:pPr>
  </w:style>
  <w:style w:type="numbering" w:customStyle="1" w:styleId="WWNum17">
    <w:name w:val="WWNum17"/>
    <w:basedOn w:val="Bezzoznamu"/>
    <w:rsid w:val="00190FAE"/>
    <w:pPr>
      <w:numPr>
        <w:numId w:val="2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9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chalickova@konsolidacna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bstaravanie@konsolidacna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ichalickova@konsolidacna.sk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200D1-7FE0-4A4B-8FF9-C5778F2BD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2068</Words>
  <Characters>11789</Characters>
  <Application>Microsoft Office Word</Application>
  <DocSecurity>0</DocSecurity>
  <Lines>98</Lines>
  <Paragraphs>27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Výzva na predloženie ponuky</vt:lpstr>
      <vt:lpstr>Výzva na predloženie ponuky</vt:lpstr>
    </vt:vector>
  </TitlesOfParts>
  <Company>Slovenská Konsolidačná, a.s.</Company>
  <LinksUpToDate>false</LinksUpToDate>
  <CharactersWithSpaces>13830</CharactersWithSpaces>
  <SharedDoc>false</SharedDoc>
  <HLinks>
    <vt:vector size="18" baseType="variant">
      <vt:variant>
        <vt:i4>5439601</vt:i4>
      </vt:variant>
      <vt:variant>
        <vt:i4>6</vt:i4>
      </vt:variant>
      <vt:variant>
        <vt:i4>0</vt:i4>
      </vt:variant>
      <vt:variant>
        <vt:i4>5</vt:i4>
      </vt:variant>
      <vt:variant>
        <vt:lpwstr>mailto:obstaravanie@konsolidacna.sk</vt:lpwstr>
      </vt:variant>
      <vt:variant>
        <vt:lpwstr/>
      </vt:variant>
      <vt:variant>
        <vt:i4>5505141</vt:i4>
      </vt:variant>
      <vt:variant>
        <vt:i4>3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  <vt:variant>
        <vt:i4>5505141</vt:i4>
      </vt:variant>
      <vt:variant>
        <vt:i4>0</vt:i4>
      </vt:variant>
      <vt:variant>
        <vt:i4>0</vt:i4>
      </vt:variant>
      <vt:variant>
        <vt:i4>5</vt:i4>
      </vt:variant>
      <vt:variant>
        <vt:lpwstr>mailto:mkontsek@konsolidacna.sk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na predloženie ponuky</dc:title>
  <dc:creator>SK, a.s.</dc:creator>
  <cp:lastModifiedBy>Sojka Ivan</cp:lastModifiedBy>
  <cp:revision>5</cp:revision>
  <cp:lastPrinted>2019-11-11T13:29:00Z</cp:lastPrinted>
  <dcterms:created xsi:type="dcterms:W3CDTF">2019-11-11T08:06:00Z</dcterms:created>
  <dcterms:modified xsi:type="dcterms:W3CDTF">2019-11-13T07:16:00Z</dcterms:modified>
</cp:coreProperties>
</file>